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E2A0C" w14:textId="77777777" w:rsidR="003C14FD" w:rsidRDefault="00E46FA0">
      <w:pPr>
        <w:widowControl/>
        <w:spacing w:line="500" w:lineRule="exact"/>
        <w:jc w:val="left"/>
        <w:rPr>
          <w:rFonts w:ascii="Times New Roman" w:eastAsia="仿宋_GB2312" w:hAnsi="Times New Roman" w:cs="仿宋_GB2312"/>
          <w:kern w:val="0"/>
          <w:sz w:val="32"/>
          <w:szCs w:val="32"/>
        </w:rPr>
      </w:pPr>
      <w:bookmarkStart w:id="0" w:name="_GoBack"/>
      <w:bookmarkEnd w:id="0"/>
      <w:r>
        <w:rPr>
          <w:rFonts w:ascii="Times New Roman" w:eastAsia="仿宋_GB2312" w:hAnsi="Times New Roman" w:cs="仿宋_GB2312" w:hint="eastAsia"/>
          <w:kern w:val="0"/>
          <w:sz w:val="32"/>
          <w:szCs w:val="32"/>
        </w:rPr>
        <w:t>附件</w:t>
      </w:r>
      <w:r>
        <w:rPr>
          <w:rFonts w:ascii="Times New Roman" w:eastAsia="仿宋_GB2312" w:hAnsi="Times New Roman" w:cs="仿宋_GB2312" w:hint="eastAsia"/>
          <w:kern w:val="0"/>
          <w:sz w:val="32"/>
          <w:szCs w:val="32"/>
        </w:rPr>
        <w:t>2</w:t>
      </w:r>
    </w:p>
    <w:p w14:paraId="259D1918" w14:textId="77777777" w:rsidR="003C14FD" w:rsidRDefault="00E46FA0">
      <w:pPr>
        <w:spacing w:line="500" w:lineRule="exact"/>
        <w:ind w:left="1600" w:hangingChars="500" w:hanging="160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成果名称：引黄济青调水工程典型区段地下水生态环境演变规律及其影响关键技术研究</w:t>
      </w:r>
    </w:p>
    <w:p w14:paraId="563D1F1F" w14:textId="77777777" w:rsidR="003C14FD" w:rsidRDefault="00E46FA0" w:rsidP="005B7275">
      <w:pPr>
        <w:spacing w:line="500" w:lineRule="exact"/>
        <w:ind w:left="1600" w:hangingChars="500" w:hanging="160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完成单位：山东省水网运行调度中心</w:t>
      </w:r>
      <w:r>
        <w:rPr>
          <w:rFonts w:ascii="Times New Roman" w:eastAsia="仿宋_GB2312" w:hAnsi="Times New Roman" w:cs="仿宋_GB2312" w:hint="eastAsia"/>
          <w:kern w:val="0"/>
          <w:sz w:val="32"/>
          <w:szCs w:val="32"/>
        </w:rPr>
        <w:t>、</w:t>
      </w:r>
      <w:r>
        <w:rPr>
          <w:rFonts w:ascii="Times New Roman" w:eastAsia="仿宋_GB2312" w:hAnsi="Times New Roman" w:cs="仿宋_GB2312" w:hint="eastAsia"/>
          <w:kern w:val="0"/>
          <w:sz w:val="32"/>
          <w:szCs w:val="32"/>
        </w:rPr>
        <w:t>中国水务集团有限公司</w:t>
      </w:r>
      <w:r>
        <w:rPr>
          <w:rFonts w:ascii="Times New Roman" w:eastAsia="仿宋_GB2312" w:hAnsi="Times New Roman" w:cs="仿宋_GB2312" w:hint="eastAsia"/>
          <w:kern w:val="0"/>
          <w:sz w:val="32"/>
          <w:szCs w:val="32"/>
        </w:rPr>
        <w:t>、</w:t>
      </w:r>
      <w:r>
        <w:rPr>
          <w:rFonts w:ascii="Times New Roman" w:eastAsia="仿宋_GB2312" w:hAnsi="Times New Roman" w:cs="仿宋_GB2312" w:hint="eastAsia"/>
          <w:kern w:val="0"/>
          <w:sz w:val="32"/>
          <w:szCs w:val="32"/>
        </w:rPr>
        <w:t>河海大学</w:t>
      </w:r>
      <w:r>
        <w:rPr>
          <w:rFonts w:ascii="Times New Roman" w:eastAsia="仿宋_GB2312" w:hAnsi="Times New Roman" w:cs="仿宋_GB2312" w:hint="eastAsia"/>
          <w:kern w:val="0"/>
          <w:sz w:val="32"/>
          <w:szCs w:val="32"/>
        </w:rPr>
        <w:t>、</w:t>
      </w:r>
      <w:r>
        <w:rPr>
          <w:rFonts w:ascii="Times New Roman" w:eastAsia="仿宋_GB2312" w:hAnsi="Times New Roman" w:cs="仿宋_GB2312" w:hint="eastAsia"/>
          <w:kern w:val="0"/>
          <w:sz w:val="32"/>
          <w:szCs w:val="32"/>
        </w:rPr>
        <w:t>青岛引黄济青水务集团有限公司</w:t>
      </w:r>
    </w:p>
    <w:p w14:paraId="2B8055F9" w14:textId="77777777" w:rsidR="003C14FD" w:rsidRDefault="00E46FA0">
      <w:pPr>
        <w:spacing w:line="500" w:lineRule="exact"/>
        <w:ind w:left="1606" w:hangingChars="500" w:hanging="1606"/>
        <w:jc w:val="center"/>
        <w:rPr>
          <w:rFonts w:ascii="Times New Roman" w:eastAsia="仿宋_GB2312" w:hAnsi="Times New Roman" w:cs="仿宋_GB2312"/>
          <w:kern w:val="0"/>
          <w:sz w:val="32"/>
          <w:szCs w:val="32"/>
        </w:rPr>
      </w:pPr>
      <w:r>
        <w:rPr>
          <w:rFonts w:ascii="Times New Roman" w:eastAsiaTheme="majorEastAsia" w:hAnsi="Times New Roman" w:cs="仿宋_GB2312" w:hint="eastAsia"/>
          <w:b/>
          <w:sz w:val="32"/>
          <w:szCs w:val="32"/>
        </w:rPr>
        <w:t>主要研制人员名单</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007"/>
        <w:gridCol w:w="1248"/>
        <w:gridCol w:w="2980"/>
        <w:gridCol w:w="3258"/>
      </w:tblGrid>
      <w:tr w:rsidR="003C14FD" w14:paraId="094707D6" w14:textId="77777777">
        <w:trPr>
          <w:tblHeader/>
          <w:jc w:val="center"/>
        </w:trPr>
        <w:tc>
          <w:tcPr>
            <w:tcW w:w="717" w:type="dxa"/>
            <w:vAlign w:val="center"/>
          </w:tcPr>
          <w:p w14:paraId="60C70BEE" w14:textId="77777777" w:rsidR="003C14FD" w:rsidRDefault="00E46FA0">
            <w:pPr>
              <w:jc w:val="center"/>
              <w:rPr>
                <w:rFonts w:ascii="Times New Roman" w:hAnsi="Times New Roman" w:cs="Times New Roman"/>
                <w:b/>
                <w:bCs/>
                <w:sz w:val="24"/>
              </w:rPr>
            </w:pPr>
            <w:r>
              <w:rPr>
                <w:rFonts w:ascii="Times New Roman" w:hAnsi="Times New Roman" w:cs="Times New Roman"/>
                <w:b/>
                <w:bCs/>
                <w:sz w:val="24"/>
              </w:rPr>
              <w:t>序号</w:t>
            </w:r>
          </w:p>
        </w:tc>
        <w:tc>
          <w:tcPr>
            <w:tcW w:w="1007" w:type="dxa"/>
            <w:vAlign w:val="center"/>
          </w:tcPr>
          <w:p w14:paraId="56709DD1" w14:textId="77777777" w:rsidR="003C14FD" w:rsidRDefault="00E46FA0">
            <w:pPr>
              <w:jc w:val="center"/>
              <w:rPr>
                <w:rFonts w:ascii="Times New Roman" w:hAnsi="Times New Roman" w:cs="Times New Roman"/>
                <w:b/>
                <w:bCs/>
                <w:sz w:val="24"/>
              </w:rPr>
            </w:pPr>
            <w:r>
              <w:rPr>
                <w:rFonts w:ascii="Times New Roman" w:hAnsi="Times New Roman" w:cs="Times New Roman"/>
                <w:b/>
                <w:bCs/>
                <w:sz w:val="24"/>
              </w:rPr>
              <w:t>姓名</w:t>
            </w:r>
          </w:p>
        </w:tc>
        <w:tc>
          <w:tcPr>
            <w:tcW w:w="1248" w:type="dxa"/>
            <w:vAlign w:val="center"/>
          </w:tcPr>
          <w:p w14:paraId="44EDD58E" w14:textId="77777777" w:rsidR="003C14FD" w:rsidRDefault="00E46FA0">
            <w:pPr>
              <w:jc w:val="center"/>
              <w:rPr>
                <w:rFonts w:ascii="Times New Roman" w:hAnsi="Times New Roman" w:cs="Times New Roman"/>
                <w:b/>
                <w:bCs/>
                <w:sz w:val="24"/>
              </w:rPr>
            </w:pPr>
            <w:r>
              <w:rPr>
                <w:rFonts w:ascii="Times New Roman" w:hAnsi="Times New Roman" w:cs="Times New Roman"/>
                <w:b/>
                <w:bCs/>
                <w:sz w:val="24"/>
              </w:rPr>
              <w:t>技术</w:t>
            </w:r>
          </w:p>
          <w:p w14:paraId="20BF8E57" w14:textId="77777777" w:rsidR="003C14FD" w:rsidRDefault="00E46FA0">
            <w:pPr>
              <w:jc w:val="center"/>
              <w:rPr>
                <w:rFonts w:ascii="Times New Roman" w:hAnsi="Times New Roman" w:cs="Times New Roman"/>
                <w:b/>
                <w:bCs/>
                <w:sz w:val="24"/>
              </w:rPr>
            </w:pPr>
            <w:r>
              <w:rPr>
                <w:rFonts w:ascii="Times New Roman" w:hAnsi="Times New Roman" w:cs="Times New Roman"/>
                <w:b/>
                <w:bCs/>
                <w:sz w:val="24"/>
              </w:rPr>
              <w:t>职称</w:t>
            </w:r>
          </w:p>
        </w:tc>
        <w:tc>
          <w:tcPr>
            <w:tcW w:w="2980" w:type="dxa"/>
            <w:vAlign w:val="center"/>
          </w:tcPr>
          <w:p w14:paraId="26BF3114" w14:textId="77777777" w:rsidR="003C14FD" w:rsidRDefault="00E46FA0">
            <w:pPr>
              <w:jc w:val="center"/>
              <w:rPr>
                <w:rFonts w:ascii="Times New Roman" w:hAnsi="Times New Roman" w:cs="Times New Roman"/>
                <w:b/>
                <w:bCs/>
                <w:sz w:val="24"/>
              </w:rPr>
            </w:pPr>
            <w:r>
              <w:rPr>
                <w:rFonts w:ascii="Times New Roman" w:hAnsi="Times New Roman" w:cs="Times New Roman"/>
                <w:b/>
                <w:bCs/>
                <w:sz w:val="24"/>
              </w:rPr>
              <w:t>工作单位</w:t>
            </w:r>
          </w:p>
        </w:tc>
        <w:tc>
          <w:tcPr>
            <w:tcW w:w="3258" w:type="dxa"/>
            <w:vAlign w:val="center"/>
          </w:tcPr>
          <w:p w14:paraId="3063342C" w14:textId="77777777" w:rsidR="003C14FD" w:rsidRDefault="00E46FA0">
            <w:pPr>
              <w:jc w:val="center"/>
              <w:rPr>
                <w:rFonts w:ascii="Times New Roman" w:hAnsi="Times New Roman" w:cs="Times New Roman"/>
                <w:b/>
                <w:bCs/>
                <w:sz w:val="24"/>
              </w:rPr>
            </w:pPr>
            <w:r>
              <w:rPr>
                <w:rFonts w:ascii="Times New Roman" w:hAnsi="Times New Roman" w:cs="Times New Roman"/>
                <w:b/>
                <w:bCs/>
                <w:sz w:val="24"/>
              </w:rPr>
              <w:t>对成果创造性贡献</w:t>
            </w:r>
          </w:p>
        </w:tc>
      </w:tr>
      <w:tr w:rsidR="003C14FD" w14:paraId="1DD2EDFC" w14:textId="77777777">
        <w:trPr>
          <w:trHeight w:val="400"/>
          <w:jc w:val="center"/>
        </w:trPr>
        <w:tc>
          <w:tcPr>
            <w:tcW w:w="717" w:type="dxa"/>
            <w:vAlign w:val="center"/>
          </w:tcPr>
          <w:p w14:paraId="4131A19F" w14:textId="77777777" w:rsidR="003C14FD" w:rsidRDefault="00E46FA0">
            <w:pPr>
              <w:jc w:val="center"/>
              <w:rPr>
                <w:rFonts w:ascii="Times New Roman" w:hAnsi="Times New Roman"/>
                <w:bCs/>
                <w:sz w:val="24"/>
              </w:rPr>
            </w:pPr>
            <w:r>
              <w:rPr>
                <w:rFonts w:ascii="Times New Roman" w:hAnsi="Times New Roman"/>
                <w:bCs/>
                <w:sz w:val="24"/>
              </w:rPr>
              <w:t>1</w:t>
            </w:r>
          </w:p>
        </w:tc>
        <w:tc>
          <w:tcPr>
            <w:tcW w:w="1007" w:type="dxa"/>
            <w:shd w:val="clear" w:color="auto" w:fill="auto"/>
            <w:vAlign w:val="center"/>
          </w:tcPr>
          <w:p w14:paraId="4E09A58F"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赵洪丽</w:t>
            </w:r>
          </w:p>
        </w:tc>
        <w:tc>
          <w:tcPr>
            <w:tcW w:w="1248" w:type="dxa"/>
            <w:shd w:val="clear" w:color="auto" w:fill="auto"/>
            <w:vAlign w:val="center"/>
          </w:tcPr>
          <w:p w14:paraId="24C2F820"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正高级</w:t>
            </w:r>
          </w:p>
          <w:p w14:paraId="141A5460"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工程师</w:t>
            </w:r>
          </w:p>
        </w:tc>
        <w:tc>
          <w:tcPr>
            <w:tcW w:w="2980" w:type="dxa"/>
            <w:shd w:val="clear" w:color="auto" w:fill="auto"/>
            <w:vAlign w:val="center"/>
          </w:tcPr>
          <w:p w14:paraId="6FAFAD4E"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山东省水网运行调度中心</w:t>
            </w:r>
          </w:p>
        </w:tc>
        <w:tc>
          <w:tcPr>
            <w:tcW w:w="3258" w:type="dxa"/>
            <w:shd w:val="clear" w:color="auto" w:fill="auto"/>
            <w:vAlign w:val="center"/>
          </w:tcPr>
          <w:p w14:paraId="7BF5221F"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项目负责人，负责整体项目的顶层设计、研究大纲制定，主持验收报告编写及项目实施。</w:t>
            </w:r>
          </w:p>
        </w:tc>
      </w:tr>
      <w:tr w:rsidR="003C14FD" w14:paraId="4A3F03A4" w14:textId="77777777">
        <w:trPr>
          <w:trHeight w:val="90"/>
          <w:jc w:val="center"/>
        </w:trPr>
        <w:tc>
          <w:tcPr>
            <w:tcW w:w="717" w:type="dxa"/>
            <w:vAlign w:val="center"/>
          </w:tcPr>
          <w:p w14:paraId="426F784A" w14:textId="77777777" w:rsidR="003C14FD" w:rsidRDefault="00E46FA0">
            <w:pPr>
              <w:jc w:val="center"/>
              <w:rPr>
                <w:rFonts w:ascii="Times New Roman" w:hAnsi="Times New Roman"/>
                <w:bCs/>
                <w:sz w:val="24"/>
              </w:rPr>
            </w:pPr>
            <w:r>
              <w:rPr>
                <w:rFonts w:ascii="Times New Roman" w:hAnsi="Times New Roman"/>
                <w:bCs/>
                <w:sz w:val="24"/>
              </w:rPr>
              <w:t>2</w:t>
            </w:r>
          </w:p>
        </w:tc>
        <w:tc>
          <w:tcPr>
            <w:tcW w:w="1007" w:type="dxa"/>
            <w:shd w:val="clear" w:color="auto" w:fill="auto"/>
            <w:vAlign w:val="center"/>
          </w:tcPr>
          <w:p w14:paraId="13A1BF0A"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马玉扩</w:t>
            </w:r>
          </w:p>
        </w:tc>
        <w:tc>
          <w:tcPr>
            <w:tcW w:w="1248" w:type="dxa"/>
            <w:shd w:val="clear" w:color="auto" w:fill="auto"/>
            <w:vAlign w:val="center"/>
          </w:tcPr>
          <w:p w14:paraId="65E9EDF7"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w:t>
            </w:r>
          </w:p>
        </w:tc>
        <w:tc>
          <w:tcPr>
            <w:tcW w:w="2980" w:type="dxa"/>
            <w:shd w:val="clear" w:color="auto" w:fill="auto"/>
            <w:vAlign w:val="center"/>
          </w:tcPr>
          <w:p w14:paraId="4FF9DAD1"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山东省水网运行调度中心</w:t>
            </w:r>
          </w:p>
        </w:tc>
        <w:tc>
          <w:tcPr>
            <w:tcW w:w="3258" w:type="dxa"/>
            <w:shd w:val="clear" w:color="auto" w:fill="auto"/>
            <w:vAlign w:val="center"/>
          </w:tcPr>
          <w:p w14:paraId="7D89F351"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主持验收报告审核、关键技术研究及关键工作开展。</w:t>
            </w:r>
          </w:p>
        </w:tc>
      </w:tr>
      <w:tr w:rsidR="003C14FD" w14:paraId="1B4891CB" w14:textId="77777777">
        <w:trPr>
          <w:trHeight w:val="400"/>
          <w:jc w:val="center"/>
        </w:trPr>
        <w:tc>
          <w:tcPr>
            <w:tcW w:w="717" w:type="dxa"/>
            <w:vAlign w:val="center"/>
          </w:tcPr>
          <w:p w14:paraId="09C268DD" w14:textId="77777777" w:rsidR="003C14FD" w:rsidRDefault="00E46FA0">
            <w:pPr>
              <w:jc w:val="center"/>
              <w:rPr>
                <w:rFonts w:ascii="Times New Roman" w:hAnsi="Times New Roman"/>
                <w:bCs/>
                <w:sz w:val="24"/>
              </w:rPr>
            </w:pPr>
            <w:r>
              <w:rPr>
                <w:rFonts w:ascii="Times New Roman" w:hAnsi="Times New Roman"/>
                <w:bCs/>
                <w:sz w:val="24"/>
              </w:rPr>
              <w:t>3</w:t>
            </w:r>
          </w:p>
        </w:tc>
        <w:tc>
          <w:tcPr>
            <w:tcW w:w="1007" w:type="dxa"/>
            <w:shd w:val="clear" w:color="auto" w:fill="auto"/>
            <w:vAlign w:val="center"/>
          </w:tcPr>
          <w:p w14:paraId="4CD50829"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崔子腾</w:t>
            </w:r>
          </w:p>
        </w:tc>
        <w:tc>
          <w:tcPr>
            <w:tcW w:w="1248" w:type="dxa"/>
            <w:shd w:val="clear" w:color="auto" w:fill="auto"/>
            <w:vAlign w:val="center"/>
          </w:tcPr>
          <w:p w14:paraId="738D5749"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w:t>
            </w:r>
          </w:p>
        </w:tc>
        <w:tc>
          <w:tcPr>
            <w:tcW w:w="2980" w:type="dxa"/>
            <w:shd w:val="clear" w:color="auto" w:fill="auto"/>
            <w:vAlign w:val="center"/>
          </w:tcPr>
          <w:p w14:paraId="4EEB1D8D"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中国水务集团有限公司</w:t>
            </w:r>
          </w:p>
        </w:tc>
        <w:tc>
          <w:tcPr>
            <w:tcW w:w="3258" w:type="dxa"/>
            <w:shd w:val="clear" w:color="auto" w:fill="auto"/>
            <w:vAlign w:val="center"/>
          </w:tcPr>
          <w:p w14:paraId="631034EF"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开展浒苔吸附实验与工艺放大研究，验证其在实际水体中对氟离子的稳定去除效果。</w:t>
            </w:r>
          </w:p>
        </w:tc>
      </w:tr>
      <w:tr w:rsidR="003C14FD" w14:paraId="6504B398" w14:textId="77777777">
        <w:trPr>
          <w:trHeight w:val="400"/>
          <w:jc w:val="center"/>
        </w:trPr>
        <w:tc>
          <w:tcPr>
            <w:tcW w:w="717" w:type="dxa"/>
            <w:vAlign w:val="center"/>
          </w:tcPr>
          <w:p w14:paraId="0EA7B027" w14:textId="77777777" w:rsidR="003C14FD" w:rsidRDefault="00E46FA0">
            <w:pPr>
              <w:jc w:val="center"/>
              <w:rPr>
                <w:rFonts w:ascii="Times New Roman" w:hAnsi="Times New Roman"/>
                <w:bCs/>
                <w:sz w:val="24"/>
              </w:rPr>
            </w:pPr>
            <w:r>
              <w:rPr>
                <w:rFonts w:ascii="Times New Roman" w:hAnsi="Times New Roman"/>
                <w:bCs/>
                <w:sz w:val="24"/>
              </w:rPr>
              <w:t>4</w:t>
            </w:r>
          </w:p>
        </w:tc>
        <w:tc>
          <w:tcPr>
            <w:tcW w:w="1007" w:type="dxa"/>
            <w:shd w:val="clear" w:color="auto" w:fill="auto"/>
            <w:vAlign w:val="center"/>
          </w:tcPr>
          <w:p w14:paraId="6508822B"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窦</w:t>
            </w:r>
            <w:r>
              <w:rPr>
                <w:rFonts w:ascii="Times New Roman" w:hAnsi="Times New Roman" w:cs="宋体" w:hint="eastAsia"/>
                <w:bCs/>
                <w:sz w:val="24"/>
              </w:rPr>
              <w:t xml:space="preserve">  </w:t>
            </w:r>
            <w:r>
              <w:rPr>
                <w:rFonts w:ascii="Times New Roman" w:hAnsi="Times New Roman" w:cs="宋体" w:hint="eastAsia"/>
                <w:bCs/>
                <w:sz w:val="24"/>
              </w:rPr>
              <w:t>智</w:t>
            </w:r>
          </w:p>
        </w:tc>
        <w:tc>
          <w:tcPr>
            <w:tcW w:w="1248" w:type="dxa"/>
            <w:shd w:val="clear" w:color="auto" w:fill="auto"/>
            <w:vAlign w:val="center"/>
          </w:tcPr>
          <w:p w14:paraId="5C828F37"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教授</w:t>
            </w:r>
          </w:p>
        </w:tc>
        <w:tc>
          <w:tcPr>
            <w:tcW w:w="2980" w:type="dxa"/>
            <w:shd w:val="clear" w:color="auto" w:fill="auto"/>
            <w:vAlign w:val="center"/>
          </w:tcPr>
          <w:p w14:paraId="38D54D11"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河海大学</w:t>
            </w:r>
          </w:p>
        </w:tc>
        <w:tc>
          <w:tcPr>
            <w:tcW w:w="3258" w:type="dxa"/>
            <w:shd w:val="clear" w:color="auto" w:fill="auto"/>
            <w:vAlign w:val="center"/>
          </w:tcPr>
          <w:p w14:paraId="70077957"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负责构建δ³⁴</w:t>
            </w:r>
            <w:r>
              <w:rPr>
                <w:rFonts w:ascii="Times New Roman" w:hAnsi="Times New Roman" w:cs="宋体" w:hint="eastAsia"/>
                <w:bCs/>
                <w:sz w:val="24"/>
              </w:rPr>
              <w:t>S</w:t>
            </w:r>
            <w:r>
              <w:rPr>
                <w:rFonts w:ascii="Times New Roman" w:hAnsi="Times New Roman" w:cs="宋体" w:hint="eastAsia"/>
                <w:bCs/>
                <w:sz w:val="24"/>
              </w:rPr>
              <w:t>等同位素溯源方法，首次实现调蓄水体中硫酸根与氟离子污染的内外源定量识别，显著提升溯源精度。</w:t>
            </w:r>
          </w:p>
        </w:tc>
      </w:tr>
      <w:tr w:rsidR="003C14FD" w14:paraId="1B210D8B" w14:textId="77777777">
        <w:trPr>
          <w:trHeight w:val="514"/>
          <w:jc w:val="center"/>
        </w:trPr>
        <w:tc>
          <w:tcPr>
            <w:tcW w:w="717" w:type="dxa"/>
            <w:vAlign w:val="center"/>
          </w:tcPr>
          <w:p w14:paraId="58F006C8" w14:textId="77777777" w:rsidR="003C14FD" w:rsidRDefault="00E46FA0">
            <w:pPr>
              <w:jc w:val="center"/>
              <w:rPr>
                <w:rFonts w:ascii="Times New Roman" w:hAnsi="Times New Roman"/>
                <w:bCs/>
                <w:sz w:val="24"/>
              </w:rPr>
            </w:pPr>
            <w:r>
              <w:rPr>
                <w:rFonts w:ascii="Times New Roman" w:hAnsi="Times New Roman"/>
                <w:bCs/>
                <w:sz w:val="24"/>
              </w:rPr>
              <w:t>5</w:t>
            </w:r>
          </w:p>
        </w:tc>
        <w:tc>
          <w:tcPr>
            <w:tcW w:w="1007" w:type="dxa"/>
            <w:shd w:val="clear" w:color="auto" w:fill="auto"/>
            <w:vAlign w:val="center"/>
          </w:tcPr>
          <w:p w14:paraId="6E02C0EE"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陈</w:t>
            </w:r>
            <w:r>
              <w:rPr>
                <w:rFonts w:ascii="Times New Roman" w:hAnsi="Times New Roman" w:cs="宋体" w:hint="eastAsia"/>
                <w:bCs/>
                <w:sz w:val="24"/>
              </w:rPr>
              <w:t xml:space="preserve">  </w:t>
            </w:r>
            <w:r>
              <w:rPr>
                <w:rFonts w:ascii="Times New Roman" w:hAnsi="Times New Roman" w:cs="宋体" w:hint="eastAsia"/>
                <w:bCs/>
                <w:sz w:val="24"/>
              </w:rPr>
              <w:t>舟</w:t>
            </w:r>
          </w:p>
        </w:tc>
        <w:tc>
          <w:tcPr>
            <w:tcW w:w="1248" w:type="dxa"/>
            <w:shd w:val="clear" w:color="auto" w:fill="auto"/>
            <w:vAlign w:val="center"/>
          </w:tcPr>
          <w:p w14:paraId="6313CD8E"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副教授</w:t>
            </w:r>
          </w:p>
        </w:tc>
        <w:tc>
          <w:tcPr>
            <w:tcW w:w="2980" w:type="dxa"/>
            <w:shd w:val="clear" w:color="auto" w:fill="auto"/>
            <w:vAlign w:val="center"/>
          </w:tcPr>
          <w:p w14:paraId="2A0432DD"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河海大学</w:t>
            </w:r>
          </w:p>
        </w:tc>
        <w:tc>
          <w:tcPr>
            <w:tcW w:w="3258" w:type="dxa"/>
            <w:shd w:val="clear" w:color="auto" w:fill="auto"/>
            <w:vAlign w:val="center"/>
          </w:tcPr>
          <w:p w14:paraId="48EDD898"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主导建立内外源污染贡献率定量模型，显著优于传统统计方法，为精准治理提供理论支持。</w:t>
            </w:r>
          </w:p>
        </w:tc>
      </w:tr>
      <w:tr w:rsidR="003C14FD" w14:paraId="3A9BE818" w14:textId="77777777">
        <w:trPr>
          <w:trHeight w:val="400"/>
          <w:jc w:val="center"/>
        </w:trPr>
        <w:tc>
          <w:tcPr>
            <w:tcW w:w="717" w:type="dxa"/>
            <w:vAlign w:val="center"/>
          </w:tcPr>
          <w:p w14:paraId="51681574" w14:textId="77777777" w:rsidR="003C14FD" w:rsidRDefault="00E46FA0">
            <w:pPr>
              <w:jc w:val="center"/>
              <w:rPr>
                <w:rFonts w:ascii="Times New Roman" w:hAnsi="Times New Roman"/>
                <w:bCs/>
                <w:sz w:val="24"/>
              </w:rPr>
            </w:pPr>
            <w:r>
              <w:rPr>
                <w:rFonts w:ascii="Times New Roman" w:hAnsi="Times New Roman"/>
                <w:bCs/>
                <w:sz w:val="24"/>
              </w:rPr>
              <w:t>6</w:t>
            </w:r>
          </w:p>
        </w:tc>
        <w:tc>
          <w:tcPr>
            <w:tcW w:w="1007" w:type="dxa"/>
            <w:shd w:val="clear" w:color="auto" w:fill="auto"/>
            <w:vAlign w:val="center"/>
          </w:tcPr>
          <w:p w14:paraId="3561DCE3"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赵然杭</w:t>
            </w:r>
          </w:p>
        </w:tc>
        <w:tc>
          <w:tcPr>
            <w:tcW w:w="1248" w:type="dxa"/>
            <w:shd w:val="clear" w:color="auto" w:fill="auto"/>
            <w:vAlign w:val="center"/>
          </w:tcPr>
          <w:p w14:paraId="2D98ACFF"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教授</w:t>
            </w:r>
          </w:p>
        </w:tc>
        <w:tc>
          <w:tcPr>
            <w:tcW w:w="2980" w:type="dxa"/>
            <w:shd w:val="clear" w:color="auto" w:fill="auto"/>
            <w:vAlign w:val="center"/>
          </w:tcPr>
          <w:p w14:paraId="7069AFC1"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山东大学</w:t>
            </w:r>
          </w:p>
        </w:tc>
        <w:tc>
          <w:tcPr>
            <w:tcW w:w="3258" w:type="dxa"/>
            <w:shd w:val="clear" w:color="auto" w:fill="auto"/>
            <w:vAlign w:val="center"/>
          </w:tcPr>
          <w:p w14:paraId="2BA97D03"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指导</w:t>
            </w:r>
            <w:r>
              <w:rPr>
                <w:rFonts w:ascii="Times New Roman" w:hAnsi="Times New Roman" w:cs="宋体" w:hint="eastAsia"/>
                <w:bCs/>
                <w:sz w:val="24"/>
              </w:rPr>
              <w:t>双线调水工程智能调度体系</w:t>
            </w:r>
            <w:r>
              <w:rPr>
                <w:rFonts w:ascii="Times New Roman" w:hAnsi="Times New Roman" w:cs="宋体" w:hint="eastAsia"/>
                <w:bCs/>
                <w:sz w:val="24"/>
              </w:rPr>
              <w:t>技术研究。</w:t>
            </w:r>
          </w:p>
        </w:tc>
      </w:tr>
      <w:tr w:rsidR="003C14FD" w14:paraId="568E4000" w14:textId="77777777">
        <w:trPr>
          <w:trHeight w:val="400"/>
          <w:jc w:val="center"/>
        </w:trPr>
        <w:tc>
          <w:tcPr>
            <w:tcW w:w="717" w:type="dxa"/>
            <w:vAlign w:val="center"/>
          </w:tcPr>
          <w:p w14:paraId="3710E9B6" w14:textId="77777777" w:rsidR="003C14FD" w:rsidRDefault="00E46FA0">
            <w:pPr>
              <w:jc w:val="center"/>
              <w:rPr>
                <w:rFonts w:ascii="Times New Roman" w:hAnsi="Times New Roman"/>
                <w:bCs/>
                <w:sz w:val="24"/>
              </w:rPr>
            </w:pPr>
            <w:r>
              <w:rPr>
                <w:rFonts w:ascii="Times New Roman" w:hAnsi="Times New Roman"/>
                <w:bCs/>
                <w:sz w:val="24"/>
              </w:rPr>
              <w:t>7</w:t>
            </w:r>
          </w:p>
        </w:tc>
        <w:tc>
          <w:tcPr>
            <w:tcW w:w="1007" w:type="dxa"/>
            <w:shd w:val="clear" w:color="auto" w:fill="auto"/>
            <w:vAlign w:val="center"/>
          </w:tcPr>
          <w:p w14:paraId="336E342C"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王好芳</w:t>
            </w:r>
          </w:p>
        </w:tc>
        <w:tc>
          <w:tcPr>
            <w:tcW w:w="1248" w:type="dxa"/>
            <w:shd w:val="clear" w:color="auto" w:fill="auto"/>
            <w:vAlign w:val="center"/>
          </w:tcPr>
          <w:p w14:paraId="7F5BCC87"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副教授</w:t>
            </w:r>
          </w:p>
        </w:tc>
        <w:tc>
          <w:tcPr>
            <w:tcW w:w="2980" w:type="dxa"/>
            <w:shd w:val="clear" w:color="auto" w:fill="auto"/>
            <w:vAlign w:val="center"/>
          </w:tcPr>
          <w:p w14:paraId="18F748A4"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山东大学</w:t>
            </w:r>
          </w:p>
        </w:tc>
        <w:tc>
          <w:tcPr>
            <w:tcW w:w="3258" w:type="dxa"/>
            <w:shd w:val="clear" w:color="auto" w:fill="auto"/>
            <w:vAlign w:val="center"/>
          </w:tcPr>
          <w:p w14:paraId="09B1869F"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指导</w:t>
            </w:r>
            <w:r>
              <w:rPr>
                <w:rFonts w:ascii="Times New Roman" w:hAnsi="Times New Roman" w:cs="宋体" w:hint="eastAsia"/>
                <w:bCs/>
                <w:sz w:val="24"/>
              </w:rPr>
              <w:t>调水工程智能调度体系</w:t>
            </w:r>
            <w:r>
              <w:rPr>
                <w:rFonts w:ascii="Times New Roman" w:hAnsi="Times New Roman" w:cs="宋体" w:hint="eastAsia"/>
                <w:bCs/>
                <w:sz w:val="24"/>
              </w:rPr>
              <w:t>技术研究。</w:t>
            </w:r>
          </w:p>
        </w:tc>
      </w:tr>
      <w:tr w:rsidR="003C14FD" w14:paraId="0996D3DC" w14:textId="77777777">
        <w:trPr>
          <w:trHeight w:val="400"/>
          <w:jc w:val="center"/>
        </w:trPr>
        <w:tc>
          <w:tcPr>
            <w:tcW w:w="717" w:type="dxa"/>
            <w:vAlign w:val="center"/>
          </w:tcPr>
          <w:p w14:paraId="48AB8F8E" w14:textId="77777777" w:rsidR="003C14FD" w:rsidRDefault="00E46FA0">
            <w:pPr>
              <w:jc w:val="center"/>
              <w:rPr>
                <w:rFonts w:ascii="Times New Roman" w:hAnsi="Times New Roman"/>
                <w:bCs/>
                <w:sz w:val="24"/>
              </w:rPr>
            </w:pPr>
            <w:r>
              <w:rPr>
                <w:rFonts w:ascii="Times New Roman" w:hAnsi="Times New Roman"/>
                <w:bCs/>
                <w:sz w:val="24"/>
              </w:rPr>
              <w:t>8</w:t>
            </w:r>
          </w:p>
        </w:tc>
        <w:tc>
          <w:tcPr>
            <w:tcW w:w="1007" w:type="dxa"/>
            <w:shd w:val="clear" w:color="auto" w:fill="auto"/>
            <w:vAlign w:val="center"/>
          </w:tcPr>
          <w:p w14:paraId="68B5B594"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段光福</w:t>
            </w:r>
          </w:p>
        </w:tc>
        <w:tc>
          <w:tcPr>
            <w:tcW w:w="1248" w:type="dxa"/>
            <w:shd w:val="clear" w:color="auto" w:fill="auto"/>
            <w:vAlign w:val="center"/>
          </w:tcPr>
          <w:p w14:paraId="17D153B5"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高级</w:t>
            </w:r>
          </w:p>
          <w:p w14:paraId="4FDD1822"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工程师</w:t>
            </w:r>
          </w:p>
        </w:tc>
        <w:tc>
          <w:tcPr>
            <w:tcW w:w="2980" w:type="dxa"/>
            <w:shd w:val="clear" w:color="auto" w:fill="auto"/>
            <w:vAlign w:val="center"/>
          </w:tcPr>
          <w:p w14:paraId="7EDC47BF"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长江勘测规划设计研究有限责任公司</w:t>
            </w:r>
          </w:p>
        </w:tc>
        <w:tc>
          <w:tcPr>
            <w:tcW w:w="3258" w:type="dxa"/>
            <w:shd w:val="clear" w:color="auto" w:fill="auto"/>
            <w:vAlign w:val="center"/>
          </w:tcPr>
          <w:p w14:paraId="63C89C11"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参与构建生态</w:t>
            </w:r>
            <w:r>
              <w:rPr>
                <w:rFonts w:ascii="Times New Roman" w:hAnsi="Times New Roman" w:cs="宋体" w:hint="eastAsia"/>
                <w:bCs/>
                <w:sz w:val="24"/>
              </w:rPr>
              <w:t>-</w:t>
            </w:r>
            <w:r>
              <w:rPr>
                <w:rFonts w:ascii="Times New Roman" w:hAnsi="Times New Roman" w:cs="宋体" w:hint="eastAsia"/>
                <w:bCs/>
                <w:sz w:val="24"/>
              </w:rPr>
              <w:t>水质耦合模型，考虑水源配比、水文过程与底泥扰动，提升模型动态模拟能力。</w:t>
            </w:r>
          </w:p>
        </w:tc>
      </w:tr>
      <w:tr w:rsidR="003C14FD" w14:paraId="54B6F2F4" w14:textId="77777777">
        <w:trPr>
          <w:trHeight w:val="400"/>
          <w:jc w:val="center"/>
        </w:trPr>
        <w:tc>
          <w:tcPr>
            <w:tcW w:w="717" w:type="dxa"/>
            <w:vAlign w:val="center"/>
          </w:tcPr>
          <w:p w14:paraId="3E25A8F9" w14:textId="77777777" w:rsidR="003C14FD" w:rsidRDefault="00E46FA0">
            <w:pPr>
              <w:jc w:val="center"/>
              <w:rPr>
                <w:rFonts w:ascii="Times New Roman" w:hAnsi="Times New Roman"/>
                <w:bCs/>
                <w:sz w:val="24"/>
              </w:rPr>
            </w:pPr>
            <w:r>
              <w:rPr>
                <w:rFonts w:ascii="Times New Roman" w:hAnsi="Times New Roman"/>
                <w:bCs/>
                <w:sz w:val="24"/>
              </w:rPr>
              <w:t>9</w:t>
            </w:r>
          </w:p>
        </w:tc>
        <w:tc>
          <w:tcPr>
            <w:tcW w:w="1007" w:type="dxa"/>
            <w:shd w:val="clear" w:color="auto" w:fill="auto"/>
            <w:vAlign w:val="center"/>
          </w:tcPr>
          <w:p w14:paraId="47242A16"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李</w:t>
            </w:r>
            <w:r>
              <w:rPr>
                <w:rFonts w:ascii="Times New Roman" w:hAnsi="Times New Roman" w:cs="宋体" w:hint="eastAsia"/>
                <w:bCs/>
                <w:sz w:val="24"/>
              </w:rPr>
              <w:t xml:space="preserve">  </w:t>
            </w:r>
            <w:r>
              <w:rPr>
                <w:rFonts w:ascii="Times New Roman" w:hAnsi="Times New Roman" w:cs="宋体" w:hint="eastAsia"/>
                <w:bCs/>
                <w:sz w:val="24"/>
              </w:rPr>
              <w:t>琨</w:t>
            </w:r>
          </w:p>
        </w:tc>
        <w:tc>
          <w:tcPr>
            <w:tcW w:w="1248" w:type="dxa"/>
            <w:shd w:val="clear" w:color="auto" w:fill="auto"/>
            <w:vAlign w:val="center"/>
          </w:tcPr>
          <w:p w14:paraId="240EE146"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高级</w:t>
            </w:r>
          </w:p>
          <w:p w14:paraId="27EBC722"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工程师</w:t>
            </w:r>
          </w:p>
        </w:tc>
        <w:tc>
          <w:tcPr>
            <w:tcW w:w="2980" w:type="dxa"/>
            <w:shd w:val="clear" w:color="auto" w:fill="auto"/>
            <w:vAlign w:val="center"/>
          </w:tcPr>
          <w:p w14:paraId="7DA4FB95"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山东省水网运行调度中心</w:t>
            </w:r>
          </w:p>
        </w:tc>
        <w:tc>
          <w:tcPr>
            <w:tcW w:w="3258" w:type="dxa"/>
            <w:shd w:val="clear" w:color="auto" w:fill="auto"/>
            <w:vAlign w:val="center"/>
          </w:tcPr>
          <w:p w14:paraId="64051D75"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参与项目具体实施及关键问题的解决。</w:t>
            </w:r>
          </w:p>
        </w:tc>
      </w:tr>
      <w:tr w:rsidR="003C14FD" w14:paraId="6A981AF0" w14:textId="77777777">
        <w:trPr>
          <w:trHeight w:val="400"/>
          <w:jc w:val="center"/>
        </w:trPr>
        <w:tc>
          <w:tcPr>
            <w:tcW w:w="717" w:type="dxa"/>
            <w:vAlign w:val="center"/>
          </w:tcPr>
          <w:p w14:paraId="75453913" w14:textId="77777777" w:rsidR="003C14FD" w:rsidRDefault="00E46FA0">
            <w:pPr>
              <w:jc w:val="center"/>
              <w:rPr>
                <w:rFonts w:ascii="Times New Roman" w:hAnsi="Times New Roman"/>
                <w:bCs/>
                <w:sz w:val="24"/>
              </w:rPr>
            </w:pPr>
            <w:r>
              <w:rPr>
                <w:rFonts w:ascii="Times New Roman" w:hAnsi="Times New Roman"/>
                <w:bCs/>
                <w:sz w:val="24"/>
              </w:rPr>
              <w:t>10</w:t>
            </w:r>
          </w:p>
        </w:tc>
        <w:tc>
          <w:tcPr>
            <w:tcW w:w="1007" w:type="dxa"/>
            <w:shd w:val="clear" w:color="auto" w:fill="auto"/>
            <w:vAlign w:val="center"/>
          </w:tcPr>
          <w:p w14:paraId="5C1E643C"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张立民</w:t>
            </w:r>
          </w:p>
        </w:tc>
        <w:tc>
          <w:tcPr>
            <w:tcW w:w="1248" w:type="dxa"/>
            <w:shd w:val="clear" w:color="auto" w:fill="auto"/>
            <w:vAlign w:val="center"/>
          </w:tcPr>
          <w:p w14:paraId="428E966E"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高级</w:t>
            </w:r>
          </w:p>
          <w:p w14:paraId="3846B1FC"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工程师</w:t>
            </w:r>
          </w:p>
        </w:tc>
        <w:tc>
          <w:tcPr>
            <w:tcW w:w="2980" w:type="dxa"/>
            <w:shd w:val="clear" w:color="auto" w:fill="auto"/>
            <w:vAlign w:val="center"/>
          </w:tcPr>
          <w:p w14:paraId="3317C7F5"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山东省水网运行调度中心</w:t>
            </w:r>
          </w:p>
        </w:tc>
        <w:tc>
          <w:tcPr>
            <w:tcW w:w="3258" w:type="dxa"/>
            <w:shd w:val="clear" w:color="auto" w:fill="auto"/>
            <w:vAlign w:val="center"/>
          </w:tcPr>
          <w:p w14:paraId="0F4735DB"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参与引黄济青调水工程地下水生态环境及其影响调查分析及措施方案的制定。</w:t>
            </w:r>
          </w:p>
        </w:tc>
      </w:tr>
      <w:tr w:rsidR="003C14FD" w14:paraId="344D8F47" w14:textId="77777777">
        <w:trPr>
          <w:trHeight w:val="400"/>
          <w:jc w:val="center"/>
        </w:trPr>
        <w:tc>
          <w:tcPr>
            <w:tcW w:w="717" w:type="dxa"/>
            <w:vAlign w:val="center"/>
          </w:tcPr>
          <w:p w14:paraId="4982AF9E" w14:textId="77777777" w:rsidR="003C14FD" w:rsidRDefault="00E46FA0">
            <w:pPr>
              <w:jc w:val="center"/>
              <w:rPr>
                <w:rFonts w:ascii="Times New Roman" w:hAnsi="Times New Roman"/>
                <w:bCs/>
                <w:sz w:val="24"/>
              </w:rPr>
            </w:pPr>
            <w:r>
              <w:rPr>
                <w:rFonts w:ascii="Times New Roman" w:hAnsi="Times New Roman"/>
                <w:bCs/>
                <w:sz w:val="24"/>
              </w:rPr>
              <w:t>11</w:t>
            </w:r>
          </w:p>
        </w:tc>
        <w:tc>
          <w:tcPr>
            <w:tcW w:w="1007" w:type="dxa"/>
            <w:shd w:val="clear" w:color="auto" w:fill="auto"/>
            <w:vAlign w:val="center"/>
          </w:tcPr>
          <w:p w14:paraId="1F442AED"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赵立宾</w:t>
            </w:r>
          </w:p>
        </w:tc>
        <w:tc>
          <w:tcPr>
            <w:tcW w:w="1248" w:type="dxa"/>
            <w:shd w:val="clear" w:color="auto" w:fill="auto"/>
            <w:vAlign w:val="center"/>
          </w:tcPr>
          <w:p w14:paraId="2182D1D7"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高级</w:t>
            </w:r>
          </w:p>
          <w:p w14:paraId="15278F76"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工程师</w:t>
            </w:r>
          </w:p>
        </w:tc>
        <w:tc>
          <w:tcPr>
            <w:tcW w:w="2980" w:type="dxa"/>
            <w:shd w:val="clear" w:color="auto" w:fill="auto"/>
            <w:vAlign w:val="center"/>
          </w:tcPr>
          <w:p w14:paraId="6C6F827B"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山东省水网运行调度中心</w:t>
            </w:r>
          </w:p>
        </w:tc>
        <w:tc>
          <w:tcPr>
            <w:tcW w:w="3258" w:type="dxa"/>
            <w:shd w:val="clear" w:color="auto" w:fill="auto"/>
            <w:vAlign w:val="center"/>
          </w:tcPr>
          <w:p w14:paraId="08E013CB"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参与引黄济青调水工程地下水生态环境调查分析及具体</w:t>
            </w:r>
            <w:r>
              <w:rPr>
                <w:rFonts w:ascii="Times New Roman" w:hAnsi="Times New Roman" w:cs="宋体" w:hint="eastAsia"/>
                <w:bCs/>
                <w:sz w:val="24"/>
              </w:rPr>
              <w:lastRenderedPageBreak/>
              <w:t>措施制定。</w:t>
            </w:r>
          </w:p>
        </w:tc>
      </w:tr>
      <w:tr w:rsidR="003C14FD" w14:paraId="0BBD49D1" w14:textId="77777777">
        <w:trPr>
          <w:trHeight w:val="400"/>
          <w:jc w:val="center"/>
        </w:trPr>
        <w:tc>
          <w:tcPr>
            <w:tcW w:w="717" w:type="dxa"/>
            <w:vAlign w:val="center"/>
          </w:tcPr>
          <w:p w14:paraId="1C0FC4F5" w14:textId="77777777" w:rsidR="003C14FD" w:rsidRDefault="00E46FA0">
            <w:pPr>
              <w:jc w:val="center"/>
              <w:rPr>
                <w:rFonts w:ascii="Times New Roman" w:hAnsi="Times New Roman"/>
                <w:bCs/>
                <w:sz w:val="24"/>
              </w:rPr>
            </w:pPr>
            <w:r>
              <w:rPr>
                <w:rFonts w:ascii="Times New Roman" w:hAnsi="Times New Roman"/>
                <w:bCs/>
                <w:sz w:val="24"/>
              </w:rPr>
              <w:lastRenderedPageBreak/>
              <w:t>12</w:t>
            </w:r>
          </w:p>
        </w:tc>
        <w:tc>
          <w:tcPr>
            <w:tcW w:w="1007" w:type="dxa"/>
            <w:shd w:val="clear" w:color="auto" w:fill="auto"/>
            <w:vAlign w:val="center"/>
          </w:tcPr>
          <w:p w14:paraId="77125BC1"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仇志峰</w:t>
            </w:r>
          </w:p>
        </w:tc>
        <w:tc>
          <w:tcPr>
            <w:tcW w:w="1248" w:type="dxa"/>
            <w:shd w:val="clear" w:color="auto" w:fill="auto"/>
            <w:vAlign w:val="center"/>
          </w:tcPr>
          <w:p w14:paraId="367B2FC7"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高级</w:t>
            </w:r>
          </w:p>
          <w:p w14:paraId="7E4B5255"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工程师</w:t>
            </w:r>
          </w:p>
        </w:tc>
        <w:tc>
          <w:tcPr>
            <w:tcW w:w="2980" w:type="dxa"/>
            <w:shd w:val="clear" w:color="auto" w:fill="auto"/>
            <w:vAlign w:val="center"/>
          </w:tcPr>
          <w:p w14:paraId="1BFEE853"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山东省水网运行调度中心</w:t>
            </w:r>
          </w:p>
        </w:tc>
        <w:tc>
          <w:tcPr>
            <w:tcW w:w="3258" w:type="dxa"/>
            <w:shd w:val="clear" w:color="auto" w:fill="auto"/>
            <w:vAlign w:val="center"/>
          </w:tcPr>
          <w:p w14:paraId="543D7FDA"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项目协调调度。</w:t>
            </w:r>
          </w:p>
        </w:tc>
      </w:tr>
      <w:tr w:rsidR="003C14FD" w14:paraId="2B12A5D3" w14:textId="77777777">
        <w:trPr>
          <w:trHeight w:val="400"/>
          <w:jc w:val="center"/>
        </w:trPr>
        <w:tc>
          <w:tcPr>
            <w:tcW w:w="717" w:type="dxa"/>
            <w:vAlign w:val="center"/>
          </w:tcPr>
          <w:p w14:paraId="714DA0D3" w14:textId="77777777" w:rsidR="003C14FD" w:rsidRDefault="00E46FA0">
            <w:pPr>
              <w:jc w:val="center"/>
              <w:rPr>
                <w:rFonts w:ascii="Times New Roman" w:hAnsi="Times New Roman"/>
                <w:bCs/>
                <w:sz w:val="24"/>
              </w:rPr>
            </w:pPr>
            <w:r>
              <w:rPr>
                <w:rFonts w:ascii="Times New Roman" w:hAnsi="Times New Roman" w:hint="eastAsia"/>
                <w:bCs/>
                <w:sz w:val="24"/>
              </w:rPr>
              <w:t>13</w:t>
            </w:r>
          </w:p>
        </w:tc>
        <w:tc>
          <w:tcPr>
            <w:tcW w:w="1007" w:type="dxa"/>
            <w:shd w:val="clear" w:color="auto" w:fill="auto"/>
            <w:vAlign w:val="center"/>
          </w:tcPr>
          <w:p w14:paraId="4B58FBF3"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魏</w:t>
            </w:r>
            <w:r>
              <w:rPr>
                <w:rFonts w:ascii="Times New Roman" w:hAnsi="Times New Roman" w:cs="宋体" w:hint="eastAsia"/>
                <w:bCs/>
                <w:sz w:val="24"/>
              </w:rPr>
              <w:t xml:space="preserve">  </w:t>
            </w:r>
            <w:r>
              <w:rPr>
                <w:rFonts w:ascii="Times New Roman" w:hAnsi="Times New Roman" w:cs="宋体" w:hint="eastAsia"/>
                <w:bCs/>
                <w:sz w:val="24"/>
              </w:rPr>
              <w:t>松</w:t>
            </w:r>
          </w:p>
        </w:tc>
        <w:tc>
          <w:tcPr>
            <w:tcW w:w="1248" w:type="dxa"/>
            <w:shd w:val="clear" w:color="auto" w:fill="auto"/>
            <w:vAlign w:val="center"/>
          </w:tcPr>
          <w:p w14:paraId="0CA52ABB"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高级</w:t>
            </w:r>
          </w:p>
          <w:p w14:paraId="7837298A"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工程师</w:t>
            </w:r>
          </w:p>
        </w:tc>
        <w:tc>
          <w:tcPr>
            <w:tcW w:w="2980" w:type="dxa"/>
            <w:shd w:val="clear" w:color="auto" w:fill="auto"/>
            <w:vAlign w:val="center"/>
          </w:tcPr>
          <w:p w14:paraId="7476AE46"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山东省水网运行调度中心</w:t>
            </w:r>
          </w:p>
        </w:tc>
        <w:tc>
          <w:tcPr>
            <w:tcW w:w="3258" w:type="dxa"/>
            <w:shd w:val="clear" w:color="auto" w:fill="auto"/>
            <w:vAlign w:val="center"/>
          </w:tcPr>
          <w:p w14:paraId="5E79CC08"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参与项目研究数据收集整理。</w:t>
            </w:r>
          </w:p>
        </w:tc>
      </w:tr>
      <w:tr w:rsidR="003C14FD" w14:paraId="08E3BE7B" w14:textId="77777777">
        <w:trPr>
          <w:trHeight w:val="400"/>
          <w:jc w:val="center"/>
        </w:trPr>
        <w:tc>
          <w:tcPr>
            <w:tcW w:w="717" w:type="dxa"/>
            <w:vAlign w:val="center"/>
          </w:tcPr>
          <w:p w14:paraId="64C738C6" w14:textId="77777777" w:rsidR="003C14FD" w:rsidRDefault="00E46FA0">
            <w:pPr>
              <w:jc w:val="center"/>
              <w:rPr>
                <w:rFonts w:ascii="Times New Roman" w:hAnsi="Times New Roman"/>
                <w:bCs/>
                <w:sz w:val="24"/>
              </w:rPr>
            </w:pPr>
            <w:r>
              <w:rPr>
                <w:rFonts w:ascii="Times New Roman" w:hAnsi="Times New Roman" w:hint="eastAsia"/>
                <w:bCs/>
                <w:sz w:val="24"/>
              </w:rPr>
              <w:t>14</w:t>
            </w:r>
          </w:p>
        </w:tc>
        <w:tc>
          <w:tcPr>
            <w:tcW w:w="1007" w:type="dxa"/>
            <w:shd w:val="clear" w:color="auto" w:fill="auto"/>
            <w:vAlign w:val="center"/>
          </w:tcPr>
          <w:p w14:paraId="5D9F2D8C"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杨</w:t>
            </w:r>
            <w:r>
              <w:rPr>
                <w:rFonts w:ascii="Times New Roman" w:hAnsi="Times New Roman" w:cs="宋体" w:hint="eastAsia"/>
                <w:bCs/>
                <w:sz w:val="24"/>
              </w:rPr>
              <w:t xml:space="preserve">  </w:t>
            </w:r>
            <w:r>
              <w:rPr>
                <w:rFonts w:ascii="Times New Roman" w:hAnsi="Times New Roman" w:cs="宋体" w:hint="eastAsia"/>
                <w:bCs/>
                <w:sz w:val="24"/>
              </w:rPr>
              <w:t>赜</w:t>
            </w:r>
          </w:p>
        </w:tc>
        <w:tc>
          <w:tcPr>
            <w:tcW w:w="1248" w:type="dxa"/>
            <w:shd w:val="clear" w:color="auto" w:fill="auto"/>
            <w:vAlign w:val="center"/>
          </w:tcPr>
          <w:p w14:paraId="1050F48E"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无</w:t>
            </w:r>
          </w:p>
        </w:tc>
        <w:tc>
          <w:tcPr>
            <w:tcW w:w="2980" w:type="dxa"/>
            <w:shd w:val="clear" w:color="auto" w:fill="auto"/>
            <w:vAlign w:val="center"/>
          </w:tcPr>
          <w:p w14:paraId="31A91DDF"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河海大学</w:t>
            </w:r>
          </w:p>
        </w:tc>
        <w:tc>
          <w:tcPr>
            <w:tcW w:w="3258" w:type="dxa"/>
            <w:shd w:val="clear" w:color="auto" w:fill="auto"/>
            <w:vAlign w:val="center"/>
          </w:tcPr>
          <w:p w14:paraId="507F5FDC" w14:textId="77777777" w:rsidR="003C14FD" w:rsidRDefault="00E46FA0">
            <w:pPr>
              <w:jc w:val="center"/>
              <w:textAlignment w:val="center"/>
              <w:rPr>
                <w:rFonts w:ascii="Times New Roman" w:hAnsi="Times New Roman" w:cs="宋体"/>
                <w:bCs/>
                <w:sz w:val="24"/>
              </w:rPr>
            </w:pPr>
            <w:r>
              <w:rPr>
                <w:rFonts w:ascii="Times New Roman" w:hAnsi="Times New Roman" w:cs="宋体" w:hint="eastAsia"/>
                <w:bCs/>
                <w:sz w:val="24"/>
              </w:rPr>
              <w:t>负责模型参数选取与校验，确保多源污染响应过程的模拟结果具备可靠性与适用性。</w:t>
            </w:r>
          </w:p>
        </w:tc>
      </w:tr>
    </w:tbl>
    <w:p w14:paraId="03D3D128" w14:textId="77777777" w:rsidR="003C14FD" w:rsidRDefault="003C14FD">
      <w:pPr>
        <w:rPr>
          <w:rFonts w:ascii="Times New Roman" w:eastAsia="仿宋" w:hAnsi="Times New Roman"/>
          <w:sz w:val="32"/>
          <w:szCs w:val="32"/>
        </w:rPr>
      </w:pPr>
    </w:p>
    <w:p w14:paraId="5FED1AA2" w14:textId="77777777" w:rsidR="003C14FD" w:rsidRDefault="003C14FD">
      <w:pPr>
        <w:rPr>
          <w:rFonts w:ascii="Times New Roman" w:eastAsia="仿宋" w:hAnsi="Times New Roman"/>
          <w:sz w:val="32"/>
          <w:szCs w:val="32"/>
        </w:rPr>
      </w:pPr>
    </w:p>
    <w:sectPr w:rsidR="003C14F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39AA5" w14:textId="77777777" w:rsidR="00E46FA0" w:rsidRDefault="00E46FA0">
      <w:r>
        <w:separator/>
      </w:r>
    </w:p>
  </w:endnote>
  <w:endnote w:type="continuationSeparator" w:id="0">
    <w:p w14:paraId="0B16CE8B" w14:textId="77777777" w:rsidR="00E46FA0" w:rsidRDefault="00E4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059009"/>
    </w:sdtPr>
    <w:sdtEndPr/>
    <w:sdtContent>
      <w:p w14:paraId="48894E03" w14:textId="77777777" w:rsidR="003C14FD" w:rsidRDefault="00E46FA0">
        <w:pPr>
          <w:pStyle w:val="a4"/>
          <w:jc w:val="center"/>
        </w:pPr>
        <w:r>
          <w:rPr>
            <w:sz w:val="24"/>
            <w:szCs w:val="24"/>
          </w:rPr>
          <w:fldChar w:fldCharType="begin"/>
        </w:r>
        <w:r>
          <w:rPr>
            <w:sz w:val="24"/>
            <w:szCs w:val="24"/>
          </w:rPr>
          <w:instrText xml:space="preserve"> PAGE   \* MERGEFORMAT </w:instrText>
        </w:r>
        <w:r>
          <w:rPr>
            <w:sz w:val="24"/>
            <w:szCs w:val="24"/>
          </w:rPr>
          <w:fldChar w:fldCharType="separate"/>
        </w:r>
        <w:r w:rsidR="009E4550" w:rsidRPr="009E4550">
          <w:rPr>
            <w:noProof/>
            <w:sz w:val="24"/>
            <w:szCs w:val="24"/>
            <w:lang w:val="zh-CN"/>
          </w:rPr>
          <w:t>2</w:t>
        </w:r>
        <w:r>
          <w:rPr>
            <w:sz w:val="24"/>
            <w:szCs w:val="24"/>
          </w:rPr>
          <w:fldChar w:fldCharType="end"/>
        </w:r>
      </w:p>
    </w:sdtContent>
  </w:sdt>
  <w:p w14:paraId="0825C3B7" w14:textId="77777777" w:rsidR="003C14FD" w:rsidRDefault="003C14F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19AD2" w14:textId="77777777" w:rsidR="00E46FA0" w:rsidRDefault="00E46FA0">
      <w:r>
        <w:separator/>
      </w:r>
    </w:p>
  </w:footnote>
  <w:footnote w:type="continuationSeparator" w:id="0">
    <w:p w14:paraId="6D0B7368" w14:textId="77777777" w:rsidR="00E46FA0" w:rsidRDefault="00E46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OTUyYmI0MTEyYTllYzNjOTc0OWFlYjA0MTBkMmIifQ=="/>
  </w:docVars>
  <w:rsids>
    <w:rsidRoot w:val="002D03CD"/>
    <w:rsid w:val="00004CD7"/>
    <w:rsid w:val="000330F9"/>
    <w:rsid w:val="0004735E"/>
    <w:rsid w:val="00061316"/>
    <w:rsid w:val="000B0289"/>
    <w:rsid w:val="000C36FE"/>
    <w:rsid w:val="001063E4"/>
    <w:rsid w:val="00113C74"/>
    <w:rsid w:val="00114366"/>
    <w:rsid w:val="001160E9"/>
    <w:rsid w:val="00124E3F"/>
    <w:rsid w:val="001454E2"/>
    <w:rsid w:val="001626C4"/>
    <w:rsid w:val="00164F41"/>
    <w:rsid w:val="001800CF"/>
    <w:rsid w:val="001963BF"/>
    <w:rsid w:val="001C6DF5"/>
    <w:rsid w:val="001D5C5C"/>
    <w:rsid w:val="001E6963"/>
    <w:rsid w:val="001F2B9C"/>
    <w:rsid w:val="00205414"/>
    <w:rsid w:val="002252AF"/>
    <w:rsid w:val="002713A2"/>
    <w:rsid w:val="002858F5"/>
    <w:rsid w:val="0028649F"/>
    <w:rsid w:val="00287837"/>
    <w:rsid w:val="00293790"/>
    <w:rsid w:val="00295491"/>
    <w:rsid w:val="0029771F"/>
    <w:rsid w:val="002B72F9"/>
    <w:rsid w:val="002D03CD"/>
    <w:rsid w:val="002E1AB9"/>
    <w:rsid w:val="002E2F0D"/>
    <w:rsid w:val="002E4FBE"/>
    <w:rsid w:val="002F405A"/>
    <w:rsid w:val="00301408"/>
    <w:rsid w:val="00333862"/>
    <w:rsid w:val="00343788"/>
    <w:rsid w:val="00345B87"/>
    <w:rsid w:val="003522E7"/>
    <w:rsid w:val="00385574"/>
    <w:rsid w:val="003C14FD"/>
    <w:rsid w:val="003D1C17"/>
    <w:rsid w:val="003F26C7"/>
    <w:rsid w:val="003F7491"/>
    <w:rsid w:val="004007DB"/>
    <w:rsid w:val="00414C10"/>
    <w:rsid w:val="00432084"/>
    <w:rsid w:val="00441A2D"/>
    <w:rsid w:val="00450518"/>
    <w:rsid w:val="00460792"/>
    <w:rsid w:val="00463712"/>
    <w:rsid w:val="00465FB0"/>
    <w:rsid w:val="00473AA9"/>
    <w:rsid w:val="004A1603"/>
    <w:rsid w:val="004A4E13"/>
    <w:rsid w:val="004C550A"/>
    <w:rsid w:val="004D09A4"/>
    <w:rsid w:val="004F29B0"/>
    <w:rsid w:val="004F2E5A"/>
    <w:rsid w:val="00505C5E"/>
    <w:rsid w:val="00513558"/>
    <w:rsid w:val="005328A4"/>
    <w:rsid w:val="00556EAA"/>
    <w:rsid w:val="005609A1"/>
    <w:rsid w:val="005633BC"/>
    <w:rsid w:val="005738E3"/>
    <w:rsid w:val="00587C86"/>
    <w:rsid w:val="005A5DB3"/>
    <w:rsid w:val="005A703A"/>
    <w:rsid w:val="005B2E6E"/>
    <w:rsid w:val="005B7275"/>
    <w:rsid w:val="005E3DD1"/>
    <w:rsid w:val="005E405D"/>
    <w:rsid w:val="005F43DC"/>
    <w:rsid w:val="005F51D0"/>
    <w:rsid w:val="005F6E18"/>
    <w:rsid w:val="00604CED"/>
    <w:rsid w:val="006112AF"/>
    <w:rsid w:val="00625209"/>
    <w:rsid w:val="0063647B"/>
    <w:rsid w:val="00636D85"/>
    <w:rsid w:val="006400FB"/>
    <w:rsid w:val="00686FCA"/>
    <w:rsid w:val="006948E6"/>
    <w:rsid w:val="006B6649"/>
    <w:rsid w:val="006C6091"/>
    <w:rsid w:val="006D698B"/>
    <w:rsid w:val="006E4908"/>
    <w:rsid w:val="007013E4"/>
    <w:rsid w:val="00713839"/>
    <w:rsid w:val="00715B16"/>
    <w:rsid w:val="007200AE"/>
    <w:rsid w:val="007339F6"/>
    <w:rsid w:val="00741AED"/>
    <w:rsid w:val="007529E1"/>
    <w:rsid w:val="00756EF3"/>
    <w:rsid w:val="0077535F"/>
    <w:rsid w:val="007A2BA1"/>
    <w:rsid w:val="007B669D"/>
    <w:rsid w:val="007C667A"/>
    <w:rsid w:val="0080146E"/>
    <w:rsid w:val="008040A4"/>
    <w:rsid w:val="0080638B"/>
    <w:rsid w:val="00807CAB"/>
    <w:rsid w:val="00814E34"/>
    <w:rsid w:val="00815A42"/>
    <w:rsid w:val="00821D7A"/>
    <w:rsid w:val="00824181"/>
    <w:rsid w:val="0084311E"/>
    <w:rsid w:val="00865D4B"/>
    <w:rsid w:val="008711F7"/>
    <w:rsid w:val="008766E4"/>
    <w:rsid w:val="00877605"/>
    <w:rsid w:val="00890C3B"/>
    <w:rsid w:val="008A6D1B"/>
    <w:rsid w:val="008B2552"/>
    <w:rsid w:val="008C687A"/>
    <w:rsid w:val="008D04BE"/>
    <w:rsid w:val="008D40C7"/>
    <w:rsid w:val="008E608A"/>
    <w:rsid w:val="008F0088"/>
    <w:rsid w:val="00917047"/>
    <w:rsid w:val="0094019D"/>
    <w:rsid w:val="009715AE"/>
    <w:rsid w:val="00986FF1"/>
    <w:rsid w:val="00990770"/>
    <w:rsid w:val="009D6185"/>
    <w:rsid w:val="009E4550"/>
    <w:rsid w:val="009F0040"/>
    <w:rsid w:val="009F6EED"/>
    <w:rsid w:val="00A16A12"/>
    <w:rsid w:val="00A217D5"/>
    <w:rsid w:val="00A239CB"/>
    <w:rsid w:val="00A5461E"/>
    <w:rsid w:val="00A61B93"/>
    <w:rsid w:val="00A61C85"/>
    <w:rsid w:val="00A76331"/>
    <w:rsid w:val="00A838AD"/>
    <w:rsid w:val="00AA714D"/>
    <w:rsid w:val="00AB38C7"/>
    <w:rsid w:val="00AC4506"/>
    <w:rsid w:val="00AC63BB"/>
    <w:rsid w:val="00AE14FA"/>
    <w:rsid w:val="00AE5180"/>
    <w:rsid w:val="00AF4833"/>
    <w:rsid w:val="00B45302"/>
    <w:rsid w:val="00B456E8"/>
    <w:rsid w:val="00B45F19"/>
    <w:rsid w:val="00B976EB"/>
    <w:rsid w:val="00BA728C"/>
    <w:rsid w:val="00BD5598"/>
    <w:rsid w:val="00BD5D5C"/>
    <w:rsid w:val="00BE459A"/>
    <w:rsid w:val="00BE7466"/>
    <w:rsid w:val="00BF0C73"/>
    <w:rsid w:val="00C034FA"/>
    <w:rsid w:val="00C25D3A"/>
    <w:rsid w:val="00C46447"/>
    <w:rsid w:val="00C6629E"/>
    <w:rsid w:val="00C75F9F"/>
    <w:rsid w:val="00C912E3"/>
    <w:rsid w:val="00C93BAF"/>
    <w:rsid w:val="00C97091"/>
    <w:rsid w:val="00CA237E"/>
    <w:rsid w:val="00CA244E"/>
    <w:rsid w:val="00CB0A7A"/>
    <w:rsid w:val="00CB1831"/>
    <w:rsid w:val="00CB4A10"/>
    <w:rsid w:val="00CC6419"/>
    <w:rsid w:val="00CD17B1"/>
    <w:rsid w:val="00CD5ACB"/>
    <w:rsid w:val="00CE2219"/>
    <w:rsid w:val="00CE5246"/>
    <w:rsid w:val="00D0110F"/>
    <w:rsid w:val="00D04CBB"/>
    <w:rsid w:val="00D12328"/>
    <w:rsid w:val="00D43BA7"/>
    <w:rsid w:val="00D630A9"/>
    <w:rsid w:val="00D65ECA"/>
    <w:rsid w:val="00D7134B"/>
    <w:rsid w:val="00D84AFD"/>
    <w:rsid w:val="00D8540E"/>
    <w:rsid w:val="00D86ABF"/>
    <w:rsid w:val="00DD577E"/>
    <w:rsid w:val="00DD5AE1"/>
    <w:rsid w:val="00DF6299"/>
    <w:rsid w:val="00E22C6D"/>
    <w:rsid w:val="00E26E26"/>
    <w:rsid w:val="00E27ED1"/>
    <w:rsid w:val="00E46FA0"/>
    <w:rsid w:val="00E54C14"/>
    <w:rsid w:val="00E5634F"/>
    <w:rsid w:val="00E6642B"/>
    <w:rsid w:val="00E72FDC"/>
    <w:rsid w:val="00E91C02"/>
    <w:rsid w:val="00EF6650"/>
    <w:rsid w:val="00F14860"/>
    <w:rsid w:val="00F370DD"/>
    <w:rsid w:val="00F45B4A"/>
    <w:rsid w:val="00F70DB8"/>
    <w:rsid w:val="00F72247"/>
    <w:rsid w:val="00F77556"/>
    <w:rsid w:val="00FA1C6B"/>
    <w:rsid w:val="00FA1D52"/>
    <w:rsid w:val="00FB00EE"/>
    <w:rsid w:val="00FB7D23"/>
    <w:rsid w:val="00FC4807"/>
    <w:rsid w:val="00FE0148"/>
    <w:rsid w:val="00FE54F2"/>
    <w:rsid w:val="024B1763"/>
    <w:rsid w:val="03BA01FA"/>
    <w:rsid w:val="050A1730"/>
    <w:rsid w:val="0B352952"/>
    <w:rsid w:val="0BE20FA2"/>
    <w:rsid w:val="0D1F6F37"/>
    <w:rsid w:val="0E4B0FCD"/>
    <w:rsid w:val="0E7D4128"/>
    <w:rsid w:val="10A92461"/>
    <w:rsid w:val="111C1F99"/>
    <w:rsid w:val="13C93502"/>
    <w:rsid w:val="160B5A99"/>
    <w:rsid w:val="16A37C36"/>
    <w:rsid w:val="17322A47"/>
    <w:rsid w:val="189D0048"/>
    <w:rsid w:val="19FB108C"/>
    <w:rsid w:val="1D160476"/>
    <w:rsid w:val="20956824"/>
    <w:rsid w:val="22F56357"/>
    <w:rsid w:val="260B6FBD"/>
    <w:rsid w:val="27246948"/>
    <w:rsid w:val="29924A56"/>
    <w:rsid w:val="29C72D39"/>
    <w:rsid w:val="2C777C6F"/>
    <w:rsid w:val="2FBC14C8"/>
    <w:rsid w:val="36015914"/>
    <w:rsid w:val="36652992"/>
    <w:rsid w:val="367843C0"/>
    <w:rsid w:val="375E2DEE"/>
    <w:rsid w:val="37A44181"/>
    <w:rsid w:val="392E6FCD"/>
    <w:rsid w:val="3EC62C05"/>
    <w:rsid w:val="3F2A5B67"/>
    <w:rsid w:val="40624AE3"/>
    <w:rsid w:val="431F2EA1"/>
    <w:rsid w:val="45351FB2"/>
    <w:rsid w:val="486E6651"/>
    <w:rsid w:val="4FF355E3"/>
    <w:rsid w:val="511224E1"/>
    <w:rsid w:val="51AB2EB2"/>
    <w:rsid w:val="58DF60E9"/>
    <w:rsid w:val="594841CA"/>
    <w:rsid w:val="5A9F1C54"/>
    <w:rsid w:val="5AB1560C"/>
    <w:rsid w:val="5B5A4039"/>
    <w:rsid w:val="5CAE341B"/>
    <w:rsid w:val="614B4615"/>
    <w:rsid w:val="6152398B"/>
    <w:rsid w:val="61BA6082"/>
    <w:rsid w:val="63095C1B"/>
    <w:rsid w:val="66C24945"/>
    <w:rsid w:val="68E0719F"/>
    <w:rsid w:val="690949EA"/>
    <w:rsid w:val="6B1C7A70"/>
    <w:rsid w:val="6B252F15"/>
    <w:rsid w:val="6DA27C55"/>
    <w:rsid w:val="6E9D0DF5"/>
    <w:rsid w:val="6ECE1688"/>
    <w:rsid w:val="72977BD8"/>
    <w:rsid w:val="72B602B0"/>
    <w:rsid w:val="748279A2"/>
    <w:rsid w:val="76A937A7"/>
    <w:rsid w:val="77B665A3"/>
    <w:rsid w:val="79540E87"/>
    <w:rsid w:val="79A9060F"/>
    <w:rsid w:val="7A743383"/>
    <w:rsid w:val="7C5F00E6"/>
    <w:rsid w:val="7FB20E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0000FF"/>
      <w:u w:val="single"/>
    </w:rPr>
  </w:style>
  <w:style w:type="character" w:customStyle="1" w:styleId="apple-converted-space">
    <w:name w:val="apple-converted-space"/>
    <w:basedOn w:val="a0"/>
    <w:qFormat/>
  </w:style>
  <w:style w:type="character" w:customStyle="1" w:styleId="red12">
    <w:name w:val="red12"/>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paragraph" w:customStyle="1" w:styleId="ParaCharCharCharCharCharCharChar">
    <w:name w:val="默认段落字体 Para Char Char Char Char Char Char Char"/>
    <w:basedOn w:val="a"/>
    <w:qFormat/>
    <w:rPr>
      <w:rFonts w:ascii="Times New Roman" w:eastAsia="宋体" w:hAnsi="Times New Roman" w:cs="Times New Roman"/>
      <w:szCs w:val="20"/>
    </w:rPr>
  </w:style>
  <w:style w:type="character" w:customStyle="1" w:styleId="Char">
    <w:name w:val="批注框文本 Char"/>
    <w:basedOn w:val="a0"/>
    <w:link w:val="a3"/>
    <w:uiPriority w:val="99"/>
    <w:semiHidden/>
    <w:qFormat/>
    <w:rPr>
      <w:kern w:val="2"/>
      <w:sz w:val="18"/>
      <w:szCs w:val="18"/>
    </w:rPr>
  </w:style>
  <w:style w:type="paragraph" w:customStyle="1" w:styleId="aa">
    <w:name w:val="发文字号"/>
    <w:basedOn w:val="a"/>
    <w:link w:val="CharChar"/>
    <w:qFormat/>
    <w:pPr>
      <w:jc w:val="center"/>
    </w:pPr>
    <w:rPr>
      <w:rFonts w:eastAsia="仿宋_GB2312"/>
      <w:kern w:val="0"/>
      <w:sz w:val="32"/>
      <w:szCs w:val="30"/>
    </w:rPr>
  </w:style>
  <w:style w:type="paragraph" w:customStyle="1" w:styleId="3">
    <w:name w:val="标3"/>
    <w:basedOn w:val="a"/>
    <w:next w:val="a"/>
    <w:qFormat/>
    <w:pPr>
      <w:keepNext/>
      <w:widowControl/>
      <w:outlineLvl w:val="2"/>
    </w:pPr>
    <w:rPr>
      <w:rFonts w:ascii="黑体" w:eastAsia="黑体" w:hAnsi="黑体"/>
      <w:sz w:val="28"/>
      <w:szCs w:val="28"/>
    </w:rPr>
  </w:style>
  <w:style w:type="paragraph" w:customStyle="1" w:styleId="1">
    <w:name w:val="样式1"/>
    <w:basedOn w:val="a"/>
    <w:qFormat/>
    <w:pPr>
      <w:widowControl/>
      <w:jc w:val="left"/>
    </w:pPr>
    <w:rPr>
      <w:rFonts w:hAnsi="仿宋_GB2312"/>
      <w:color w:val="000000"/>
      <w:kern w:val="0"/>
    </w:rPr>
  </w:style>
  <w:style w:type="character" w:customStyle="1" w:styleId="CharChar">
    <w:name w:val="发文字号 Char Char"/>
    <w:link w:val="aa"/>
    <w:qFormat/>
    <w:rPr>
      <w:rFonts w:asciiTheme="minorHAnsi" w:eastAsia="仿宋_GB2312" w:hAnsiTheme="minorHAnsi" w:cstheme="minorBidi"/>
      <w:sz w:val="32"/>
      <w:szCs w:val="30"/>
    </w:rPr>
  </w:style>
  <w:style w:type="paragraph" w:customStyle="1" w:styleId="p1">
    <w:name w:val="p1"/>
    <w:basedOn w:val="a"/>
    <w:pPr>
      <w:widowControl/>
      <w:spacing w:before="100" w:beforeAutospacing="1" w:after="100" w:afterAutospacing="1"/>
      <w:jc w:val="left"/>
    </w:pPr>
    <w:rPr>
      <w:rFonts w:eastAsia="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0000FF"/>
      <w:u w:val="single"/>
    </w:rPr>
  </w:style>
  <w:style w:type="character" w:customStyle="1" w:styleId="apple-converted-space">
    <w:name w:val="apple-converted-space"/>
    <w:basedOn w:val="a0"/>
    <w:qFormat/>
  </w:style>
  <w:style w:type="character" w:customStyle="1" w:styleId="red12">
    <w:name w:val="red12"/>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paragraph" w:customStyle="1" w:styleId="ParaCharCharCharCharCharCharChar">
    <w:name w:val="默认段落字体 Para Char Char Char Char Char Char Char"/>
    <w:basedOn w:val="a"/>
    <w:qFormat/>
    <w:rPr>
      <w:rFonts w:ascii="Times New Roman" w:eastAsia="宋体" w:hAnsi="Times New Roman" w:cs="Times New Roman"/>
      <w:szCs w:val="20"/>
    </w:rPr>
  </w:style>
  <w:style w:type="character" w:customStyle="1" w:styleId="Char">
    <w:name w:val="批注框文本 Char"/>
    <w:basedOn w:val="a0"/>
    <w:link w:val="a3"/>
    <w:uiPriority w:val="99"/>
    <w:semiHidden/>
    <w:qFormat/>
    <w:rPr>
      <w:kern w:val="2"/>
      <w:sz w:val="18"/>
      <w:szCs w:val="18"/>
    </w:rPr>
  </w:style>
  <w:style w:type="paragraph" w:customStyle="1" w:styleId="aa">
    <w:name w:val="发文字号"/>
    <w:basedOn w:val="a"/>
    <w:link w:val="CharChar"/>
    <w:qFormat/>
    <w:pPr>
      <w:jc w:val="center"/>
    </w:pPr>
    <w:rPr>
      <w:rFonts w:eastAsia="仿宋_GB2312"/>
      <w:kern w:val="0"/>
      <w:sz w:val="32"/>
      <w:szCs w:val="30"/>
    </w:rPr>
  </w:style>
  <w:style w:type="paragraph" w:customStyle="1" w:styleId="3">
    <w:name w:val="标3"/>
    <w:basedOn w:val="a"/>
    <w:next w:val="a"/>
    <w:qFormat/>
    <w:pPr>
      <w:keepNext/>
      <w:widowControl/>
      <w:outlineLvl w:val="2"/>
    </w:pPr>
    <w:rPr>
      <w:rFonts w:ascii="黑体" w:eastAsia="黑体" w:hAnsi="黑体"/>
      <w:sz w:val="28"/>
      <w:szCs w:val="28"/>
    </w:rPr>
  </w:style>
  <w:style w:type="paragraph" w:customStyle="1" w:styleId="1">
    <w:name w:val="样式1"/>
    <w:basedOn w:val="a"/>
    <w:qFormat/>
    <w:pPr>
      <w:widowControl/>
      <w:jc w:val="left"/>
    </w:pPr>
    <w:rPr>
      <w:rFonts w:hAnsi="仿宋_GB2312"/>
      <w:color w:val="000000"/>
      <w:kern w:val="0"/>
    </w:rPr>
  </w:style>
  <w:style w:type="character" w:customStyle="1" w:styleId="CharChar">
    <w:name w:val="发文字号 Char Char"/>
    <w:link w:val="aa"/>
    <w:qFormat/>
    <w:rPr>
      <w:rFonts w:asciiTheme="minorHAnsi" w:eastAsia="仿宋_GB2312" w:hAnsiTheme="minorHAnsi" w:cstheme="minorBidi"/>
      <w:sz w:val="32"/>
      <w:szCs w:val="30"/>
    </w:rPr>
  </w:style>
  <w:style w:type="paragraph" w:customStyle="1" w:styleId="p1">
    <w:name w:val="p1"/>
    <w:basedOn w:val="a"/>
    <w:pPr>
      <w:widowControl/>
      <w:spacing w:before="100" w:beforeAutospacing="1" w:after="100" w:afterAutospacing="1"/>
      <w:jc w:val="left"/>
    </w:pPr>
    <w:rPr>
      <w:rFonts w:eastAsia="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736</Characters>
  <Application>Microsoft Office Word</Application>
  <DocSecurity>0</DocSecurity>
  <Lines>6</Lines>
  <Paragraphs>1</Paragraphs>
  <ScaleCrop>false</ScaleCrop>
  <Company>Microsoft</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dc:creator>
  <cp:lastModifiedBy>user</cp:lastModifiedBy>
  <cp:revision>2</cp:revision>
  <cp:lastPrinted>2025-09-17T06:09:00Z</cp:lastPrinted>
  <dcterms:created xsi:type="dcterms:W3CDTF">2025-09-17T09:34:00Z</dcterms:created>
  <dcterms:modified xsi:type="dcterms:W3CDTF">2025-09-17T09:34:00Z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3F3EFEE0CFCB4CB78F4BFCE0BFEA505B_13</vt:lpwstr>
  </property>
  <property fmtid="{D5CDD505-2E9C-101B-9397-08002B2CF9AE}" pid="4" name="KSOTemplateDocerSaveRecord">
    <vt:lpwstr>eyJoZGlkIjoiZGJhOTUyYmI0MTEyYTllYzNjOTc0OWFlYjA0MTBkMmIiLCJ1c2VySWQiOiIyNjIxMjg4MDIifQ==</vt:lpwstr>
  </property>
</Properties>
</file>