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 w:cs="仿宋_GB2312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bookmarkStart w:id="0" w:name="_Hlk199177599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西北旱区生态农业“水土盐生”四元协同调控理论与提质增效关键技术</w:t>
      </w:r>
      <w:bookmarkEnd w:id="0"/>
    </w:p>
    <w:p>
      <w:pPr>
        <w:spacing w:line="50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完成单位：西安理工大学、内蒙古农业大学、新疆水利水科学研究院、中国科学院新疆生态与地理研究所、新疆农业大学、新疆水利发展投资（集团）有限公司、大禹节水集团股份有限公司</w:t>
      </w: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7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20"/>
        <w:gridCol w:w="1024"/>
        <w:gridCol w:w="1669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6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王全九</w:t>
            </w:r>
          </w:p>
        </w:tc>
        <w:tc>
          <w:tcPr>
            <w:tcW w:w="102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669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西安理工大学</w:t>
            </w:r>
          </w:p>
        </w:tc>
        <w:tc>
          <w:tcPr>
            <w:tcW w:w="4697" w:type="dxa"/>
          </w:tcPr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1、创立了西北旱区生态农业“水土盐生”四元协同调控理论；</w:t>
            </w:r>
          </w:p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2、发现了固体覆盖增渗、活化水灌溉提效的科学原理，研发了首台高性能灌溉水活化器，突破了灌溉水生产生态功能提升和土石山区增渗提墒技术难题；</w:t>
            </w: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3、发现土壤盐分运移的异质性，率先提出了农田盐分与作物生长和谐共存的理念和灌排定额概念，首创了浅埋暗管排盐补氧新方法。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邓铭江</w:t>
            </w:r>
          </w:p>
        </w:tc>
        <w:tc>
          <w:tcPr>
            <w:tcW w:w="102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正高</w:t>
            </w:r>
          </w:p>
        </w:tc>
        <w:tc>
          <w:tcPr>
            <w:tcW w:w="1669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新疆水利发展投资（集团）有限公司</w:t>
            </w:r>
          </w:p>
        </w:tc>
        <w:tc>
          <w:tcPr>
            <w:tcW w:w="4697" w:type="dxa"/>
          </w:tcPr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1、协助创建了西北旱区生态农业“水土盐生”四元协同调控理论；</w:t>
            </w:r>
          </w:p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2、提出了灌溉主导型、灌溉补充型、灌溉提质型灌区生产与生态</w:t>
            </w: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12:1-11:1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适宜规模比例，构建了蓄</w:t>
            </w: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-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输</w:t>
            </w: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-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配</w:t>
            </w: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-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灌</w:t>
            </w: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-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排</w:t>
            </w: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-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管协同与作物生境核心要素靶向调控与高标准农田建设模式</w:t>
            </w: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3、将项目组技术在新疆进行大面积推广应用。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史海滨</w:t>
            </w:r>
          </w:p>
        </w:tc>
        <w:tc>
          <w:tcPr>
            <w:tcW w:w="102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669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内蒙古农业大学</w:t>
            </w:r>
          </w:p>
        </w:tc>
        <w:tc>
          <w:tcPr>
            <w:tcW w:w="4697" w:type="dxa"/>
          </w:tcPr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1、提出了水土盐生传输关键过程定量表征方法，创建核心要素时空尺度转化与显示表征模型，</w:t>
            </w: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2、创建了灌区驱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吸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排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蓄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纳为一体的水盐综合调控技术，并在内蒙古河套灌区进行常年推广应用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张江辉</w:t>
            </w:r>
          </w:p>
        </w:tc>
        <w:tc>
          <w:tcPr>
            <w:tcW w:w="102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研究员</w:t>
            </w:r>
          </w:p>
        </w:tc>
        <w:tc>
          <w:tcPr>
            <w:tcW w:w="1669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新疆水利水电科学研究院</w:t>
            </w:r>
          </w:p>
        </w:tc>
        <w:tc>
          <w:tcPr>
            <w:tcW w:w="4697" w:type="dxa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1、首创了林果降温促生的立体滴灌</w:t>
            </w: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-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喷雾系统，并在新疆林果种植中进行大面积推广与应用</w:t>
            </w: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2、创建了根系适配的线源灌水技术，并应用于林果的节水灌溉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田长彦</w:t>
            </w:r>
          </w:p>
        </w:tc>
        <w:tc>
          <w:tcPr>
            <w:tcW w:w="102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研究员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中国科学院新疆生态与地理研究所</w:t>
            </w:r>
          </w:p>
        </w:tc>
        <w:tc>
          <w:tcPr>
            <w:tcW w:w="4697" w:type="dxa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1、培育了十余种耐盐植物，并在西北旱区多省区进行试验及推广；</w:t>
            </w:r>
          </w:p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2、开发盐生饲料和蔬菜等绿色产品</w:t>
            </w: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3、协助创建了灌区驱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吸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排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蓄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纳为一体的水盐综合调控技术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马英杰</w:t>
            </w:r>
          </w:p>
        </w:tc>
        <w:tc>
          <w:tcPr>
            <w:tcW w:w="102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教授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6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新疆农业大学</w:t>
            </w:r>
          </w:p>
        </w:tc>
        <w:tc>
          <w:tcPr>
            <w:tcW w:w="4697" w:type="dxa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1、构建了林草护缘-生物质腐熟改土-垄沟耕作-覆盖增渗-杂粮饲草适配-盐分纳盐-活化水灌溉的绿色农业和循环经济发展模式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2、提出了合理灌排定额概念，并进行区域尺度排水优化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周蓓蓓</w:t>
            </w:r>
          </w:p>
        </w:tc>
        <w:tc>
          <w:tcPr>
            <w:tcW w:w="102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669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西安理工大学</w:t>
            </w:r>
          </w:p>
        </w:tc>
        <w:tc>
          <w:tcPr>
            <w:tcW w:w="4697" w:type="dxa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1、研发了动态好氧固废发酵设备，并进行功能性有机肥开发与利用；</w:t>
            </w: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2、训化了多种促进作物耐逆性与提质增效的微生物菌种，并南疆进行长达十余年的验证与推广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李仙岳</w:t>
            </w:r>
          </w:p>
        </w:tc>
        <w:tc>
          <w:tcPr>
            <w:tcW w:w="102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1669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内蒙古农业大学</w:t>
            </w:r>
          </w:p>
        </w:tc>
        <w:tc>
          <w:tcPr>
            <w:tcW w:w="4697" w:type="dxa"/>
          </w:tcPr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1、提出了灌溉主导型、灌溉补充型、灌溉提质型灌区生产与生态</w:t>
            </w: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12:1-11:1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适宜规模比例</w:t>
            </w: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2、协助构建了蓄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输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配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灌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排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管协同与作物生境核心要素靶向调控与高标准农田建设模式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王浩宇</w:t>
            </w:r>
          </w:p>
        </w:tc>
        <w:tc>
          <w:tcPr>
            <w:tcW w:w="102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正高</w:t>
            </w:r>
          </w:p>
        </w:tc>
        <w:tc>
          <w:tcPr>
            <w:tcW w:w="1669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大禹节水集团股份有限公司</w:t>
            </w:r>
          </w:p>
        </w:tc>
        <w:tc>
          <w:tcPr>
            <w:tcW w:w="4697" w:type="dxa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1、基于项目组理论和技术机理，开发了大量节水、施肥、自动化管控的仪器设备，并进行批量化生产、推广使用</w:t>
            </w: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2、构建了灌区智能化平台系统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陶汪海</w:t>
            </w:r>
          </w:p>
        </w:tc>
        <w:tc>
          <w:tcPr>
            <w:tcW w:w="102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669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西安理工大学</w:t>
            </w:r>
          </w:p>
        </w:tc>
        <w:tc>
          <w:tcPr>
            <w:tcW w:w="4697" w:type="dxa"/>
          </w:tcPr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1、提出了水土盐生传输关键过程定量表征方法，创建核心要素时空尺度转化与显示表征模型</w:t>
            </w:r>
          </w:p>
          <w:p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2、构建了坡塬综合治理与生态循环农牧模式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UyYmI0MTEyYTllYzNjOTc0OWFlYjA0MTBkMmI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0828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B2335"/>
    <w:rsid w:val="003D1C17"/>
    <w:rsid w:val="003F7491"/>
    <w:rsid w:val="004007DB"/>
    <w:rsid w:val="00414C10"/>
    <w:rsid w:val="00422BF8"/>
    <w:rsid w:val="00432084"/>
    <w:rsid w:val="00441A2D"/>
    <w:rsid w:val="00450518"/>
    <w:rsid w:val="0045126B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32E7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2B602B0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kern w:val="0"/>
      <w:sz w:val="24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red12"/>
    <w:basedOn w:val="9"/>
    <w:qFormat/>
    <w:uiPriority w:val="0"/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发文字号"/>
    <w:basedOn w:val="1"/>
    <w:link w:val="21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9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20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1">
    <w:name w:val="发文字号 Char Char"/>
    <w:link w:val="18"/>
    <w:qFormat/>
    <w:uiPriority w:val="0"/>
    <w:rPr>
      <w:rFonts w:eastAsia="仿宋_GB2312" w:asciiTheme="minorHAnsi" w:hAnsiTheme="minorHAnsi" w:cstheme="minorBidi"/>
      <w:sz w:val="32"/>
      <w:szCs w:val="30"/>
    </w:rPr>
  </w:style>
  <w:style w:type="character" w:customStyle="1" w:styleId="22">
    <w:name w:val="纯文本 Char"/>
    <w:basedOn w:val="9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3">
    <w:name w:val="纯文本 字符"/>
    <w:link w:val="2"/>
    <w:qFormat/>
    <w:uiPriority w:val="0"/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264</Words>
  <Characters>1507</Characters>
  <Lines>12</Lines>
  <Paragraphs>3</Paragraphs>
  <TotalTime>304</TotalTime>
  <ScaleCrop>false</ScaleCrop>
  <LinksUpToDate>false</LinksUpToDate>
  <CharactersWithSpaces>1768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杨柳</cp:lastModifiedBy>
  <cp:lastPrinted>2021-01-28T06:42:00Z</cp:lastPrinted>
  <dcterms:modified xsi:type="dcterms:W3CDTF">2025-06-11T00:14:49Z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A72F50F68B6D41C7B923BB1BB9032101_12</vt:lpwstr>
  </property>
  <property fmtid="{D5CDD505-2E9C-101B-9397-08002B2CF9AE}" pid="4" name="KSOTemplateDocerSaveRecord">
    <vt:lpwstr>eyJoZGlkIjoiZDhjODRjY2ZkMmY3YzNmNmUyMjc3N2IyNDhhYTFkNDQiLCJ1c2VySWQiOiIyNjIxMjg4MDIifQ==</vt:lpwstr>
  </property>
</Properties>
</file>