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81C" w:rsidRPr="0081481C" w:rsidRDefault="0081481C" w:rsidP="0066467A"/>
    <w:p w:rsidR="0081481C" w:rsidRPr="0081481C" w:rsidRDefault="0081481C" w:rsidP="0066467A">
      <w:pPr>
        <w:rPr>
          <w:snapToGrid w:val="0"/>
        </w:rPr>
      </w:pPr>
    </w:p>
    <w:p w:rsidR="0081481C" w:rsidRPr="0081481C" w:rsidRDefault="0081481C" w:rsidP="0066467A">
      <w:pPr>
        <w:rPr>
          <w:snapToGrid w:val="0"/>
        </w:rPr>
      </w:pPr>
    </w:p>
    <w:p w:rsidR="0081481C" w:rsidRPr="00986629" w:rsidRDefault="0081481C" w:rsidP="008A4E52">
      <w:pPr>
        <w:ind w:firstLineChars="0" w:firstLine="0"/>
        <w:jc w:val="center"/>
        <w:rPr>
          <w:rFonts w:eastAsia="黑体"/>
          <w:snapToGrid w:val="0"/>
          <w:w w:val="90"/>
          <w:kern w:val="0"/>
          <w:sz w:val="40"/>
          <w:szCs w:val="44"/>
        </w:rPr>
      </w:pPr>
      <w:r w:rsidRPr="00986629">
        <w:rPr>
          <w:rFonts w:eastAsia="黑体" w:hint="eastAsia"/>
          <w:snapToGrid w:val="0"/>
          <w:w w:val="90"/>
          <w:kern w:val="0"/>
          <w:sz w:val="40"/>
          <w:szCs w:val="44"/>
        </w:rPr>
        <w:t>《</w:t>
      </w:r>
      <w:r w:rsidR="008964C5" w:rsidRPr="00986629">
        <w:rPr>
          <w:rFonts w:eastAsia="黑体" w:hint="eastAsia"/>
          <w:snapToGrid w:val="0"/>
          <w:w w:val="90"/>
          <w:kern w:val="0"/>
          <w:sz w:val="40"/>
          <w:szCs w:val="44"/>
        </w:rPr>
        <w:t>蒸渗仪法蒸散发</w:t>
      </w:r>
      <w:r w:rsidR="00F07391" w:rsidRPr="00986629">
        <w:rPr>
          <w:rFonts w:eastAsia="黑体" w:hint="eastAsia"/>
          <w:snapToGrid w:val="0"/>
          <w:w w:val="90"/>
          <w:kern w:val="0"/>
          <w:sz w:val="40"/>
          <w:szCs w:val="44"/>
        </w:rPr>
        <w:t>、</w:t>
      </w:r>
      <w:r w:rsidR="008964C5" w:rsidRPr="00986629">
        <w:rPr>
          <w:rFonts w:eastAsia="黑体" w:hint="eastAsia"/>
          <w:snapToGrid w:val="0"/>
          <w:w w:val="90"/>
          <w:kern w:val="0"/>
          <w:sz w:val="40"/>
          <w:szCs w:val="44"/>
        </w:rPr>
        <w:t>潜水蒸发</w:t>
      </w:r>
      <w:r w:rsidR="00F07391" w:rsidRPr="00986629">
        <w:rPr>
          <w:rFonts w:eastAsia="黑体" w:hint="eastAsia"/>
          <w:snapToGrid w:val="0"/>
          <w:w w:val="90"/>
          <w:kern w:val="0"/>
          <w:sz w:val="40"/>
          <w:szCs w:val="44"/>
        </w:rPr>
        <w:t>、</w:t>
      </w:r>
      <w:r w:rsidR="008964C5" w:rsidRPr="00986629">
        <w:rPr>
          <w:rFonts w:eastAsia="黑体" w:hint="eastAsia"/>
          <w:snapToGrid w:val="0"/>
          <w:w w:val="90"/>
          <w:kern w:val="0"/>
          <w:sz w:val="40"/>
          <w:szCs w:val="44"/>
        </w:rPr>
        <w:t>土壤水观测规范</w:t>
      </w:r>
      <w:r w:rsidRPr="00986629">
        <w:rPr>
          <w:rFonts w:eastAsia="黑体" w:hint="eastAsia"/>
          <w:snapToGrid w:val="0"/>
          <w:w w:val="90"/>
          <w:kern w:val="0"/>
          <w:sz w:val="40"/>
          <w:szCs w:val="44"/>
        </w:rPr>
        <w:t>》</w:t>
      </w:r>
    </w:p>
    <w:p w:rsidR="0081481C" w:rsidRPr="00952F1B" w:rsidRDefault="0081481C" w:rsidP="0066467A">
      <w:pPr>
        <w:rPr>
          <w:snapToGrid w:val="0"/>
        </w:rPr>
      </w:pPr>
    </w:p>
    <w:p w:rsidR="0081481C" w:rsidRPr="0081481C" w:rsidRDefault="0081481C" w:rsidP="008A4E52">
      <w:pPr>
        <w:ind w:firstLineChars="0" w:firstLine="0"/>
        <w:jc w:val="center"/>
        <w:rPr>
          <w:snapToGrid w:val="0"/>
        </w:rPr>
      </w:pPr>
      <w:r w:rsidRPr="008A4E52">
        <w:rPr>
          <w:rFonts w:hint="eastAsia"/>
          <w:snapToGrid w:val="0"/>
          <w:kern w:val="0"/>
          <w:sz w:val="32"/>
          <w:szCs w:val="32"/>
        </w:rPr>
        <w:t>（</w:t>
      </w:r>
      <w:r w:rsidR="00146098" w:rsidRPr="008A4E52">
        <w:rPr>
          <w:snapToGrid w:val="0"/>
          <w:kern w:val="0"/>
          <w:sz w:val="32"/>
          <w:szCs w:val="32"/>
        </w:rPr>
        <w:sym w:font="Wingdings 2" w:char="F052"/>
      </w:r>
      <w:r w:rsidRPr="008A4E52">
        <w:rPr>
          <w:rFonts w:hint="eastAsia"/>
          <w:snapToGrid w:val="0"/>
          <w:kern w:val="0"/>
          <w:sz w:val="32"/>
          <w:szCs w:val="32"/>
        </w:rPr>
        <w:t>征求意见稿</w:t>
      </w:r>
      <w:r w:rsidRPr="008A4E52">
        <w:rPr>
          <w:snapToGrid w:val="0"/>
          <w:kern w:val="0"/>
          <w:sz w:val="32"/>
          <w:szCs w:val="32"/>
        </w:rPr>
        <w:t xml:space="preserve">  </w:t>
      </w:r>
      <w:r w:rsidRPr="008A4E52">
        <w:rPr>
          <w:snapToGrid w:val="0"/>
          <w:kern w:val="0"/>
          <w:sz w:val="32"/>
          <w:szCs w:val="32"/>
        </w:rPr>
        <w:sym w:font="Wingdings 2" w:char="00A3"/>
      </w:r>
      <w:r w:rsidRPr="008A4E52">
        <w:rPr>
          <w:rFonts w:hint="eastAsia"/>
          <w:snapToGrid w:val="0"/>
          <w:kern w:val="0"/>
          <w:sz w:val="32"/>
          <w:szCs w:val="32"/>
        </w:rPr>
        <w:t>送审稿</w:t>
      </w:r>
      <w:r w:rsidRPr="008A4E52">
        <w:rPr>
          <w:snapToGrid w:val="0"/>
          <w:kern w:val="0"/>
          <w:sz w:val="32"/>
          <w:szCs w:val="32"/>
        </w:rPr>
        <w:t xml:space="preserve">  </w:t>
      </w:r>
      <w:r w:rsidRPr="008A4E52">
        <w:rPr>
          <w:snapToGrid w:val="0"/>
          <w:kern w:val="0"/>
          <w:sz w:val="32"/>
          <w:szCs w:val="32"/>
        </w:rPr>
        <w:sym w:font="Wingdings 2" w:char="00A3"/>
      </w:r>
      <w:r w:rsidRPr="008A4E52">
        <w:rPr>
          <w:rFonts w:hint="eastAsia"/>
          <w:snapToGrid w:val="0"/>
          <w:kern w:val="0"/>
          <w:sz w:val="32"/>
          <w:szCs w:val="32"/>
        </w:rPr>
        <w:t>报批稿）</w:t>
      </w:r>
    </w:p>
    <w:p w:rsidR="0081481C" w:rsidRPr="00146098" w:rsidRDefault="0081481C" w:rsidP="0066467A"/>
    <w:p w:rsidR="0081481C" w:rsidRPr="0081481C" w:rsidRDefault="0081481C" w:rsidP="0066467A"/>
    <w:p w:rsidR="0081481C" w:rsidRPr="0081481C" w:rsidRDefault="0081481C" w:rsidP="0066467A"/>
    <w:p w:rsidR="0081481C" w:rsidRPr="008A4E52" w:rsidRDefault="0081481C" w:rsidP="008A4E52">
      <w:pPr>
        <w:widowControl/>
        <w:spacing w:line="240" w:lineRule="auto"/>
        <w:ind w:firstLineChars="0" w:firstLine="0"/>
        <w:jc w:val="center"/>
        <w:rPr>
          <w:rFonts w:eastAsia="黑体"/>
          <w:snapToGrid w:val="0"/>
          <w:kern w:val="0"/>
          <w:sz w:val="44"/>
          <w:szCs w:val="44"/>
        </w:rPr>
      </w:pPr>
      <w:r w:rsidRPr="008A4E52">
        <w:rPr>
          <w:rFonts w:eastAsia="黑体" w:hint="eastAsia"/>
          <w:snapToGrid w:val="0"/>
          <w:kern w:val="0"/>
          <w:sz w:val="44"/>
          <w:szCs w:val="44"/>
        </w:rPr>
        <w:t>编制说明</w:t>
      </w:r>
    </w:p>
    <w:p w:rsidR="0081481C" w:rsidRPr="0081481C" w:rsidRDefault="0081481C" w:rsidP="0066467A">
      <w:pPr>
        <w:rPr>
          <w:snapToGrid w:val="0"/>
        </w:rPr>
      </w:pPr>
    </w:p>
    <w:p w:rsidR="0081481C" w:rsidRPr="0081481C" w:rsidRDefault="0081481C" w:rsidP="0066467A">
      <w:pPr>
        <w:rPr>
          <w:snapToGrid w:val="0"/>
        </w:rPr>
      </w:pPr>
    </w:p>
    <w:p w:rsidR="0081481C" w:rsidRPr="0081481C" w:rsidRDefault="0081481C" w:rsidP="0066467A">
      <w:pPr>
        <w:rPr>
          <w:snapToGrid w:val="0"/>
        </w:rPr>
      </w:pPr>
    </w:p>
    <w:p w:rsidR="0081481C" w:rsidRPr="0081481C" w:rsidRDefault="0081481C" w:rsidP="0066467A">
      <w:pPr>
        <w:rPr>
          <w:snapToGrid w:val="0"/>
        </w:rPr>
      </w:pPr>
    </w:p>
    <w:p w:rsidR="0081481C" w:rsidRPr="0081481C" w:rsidRDefault="0081481C" w:rsidP="0066467A">
      <w:pPr>
        <w:rPr>
          <w:snapToGrid w:val="0"/>
        </w:rPr>
      </w:pPr>
    </w:p>
    <w:p w:rsidR="0081481C" w:rsidRPr="0081481C" w:rsidRDefault="0081481C" w:rsidP="0066467A">
      <w:pPr>
        <w:rPr>
          <w:snapToGrid w:val="0"/>
        </w:rPr>
      </w:pPr>
    </w:p>
    <w:p w:rsidR="0081481C" w:rsidRPr="0081481C" w:rsidRDefault="0081481C" w:rsidP="0066467A"/>
    <w:p w:rsidR="0081481C" w:rsidRPr="0081481C" w:rsidRDefault="0081481C" w:rsidP="0066467A">
      <w:pPr>
        <w:rPr>
          <w:snapToGrid w:val="0"/>
        </w:rPr>
      </w:pPr>
    </w:p>
    <w:tbl>
      <w:tblPr>
        <w:tblW w:w="0" w:type="auto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5367"/>
      </w:tblGrid>
      <w:tr w:rsidR="0081481C" w:rsidRPr="0081481C" w:rsidTr="00096B14"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81481C" w:rsidRPr="003F0703" w:rsidRDefault="0081481C" w:rsidP="0066467A">
            <w:pPr>
              <w:ind w:firstLineChars="0" w:firstLine="0"/>
              <w:rPr>
                <w:sz w:val="32"/>
              </w:rPr>
            </w:pPr>
            <w:r w:rsidRPr="003F0703">
              <w:rPr>
                <w:rFonts w:hint="eastAsia"/>
                <w:sz w:val="32"/>
              </w:rPr>
              <w:t>主编单位：</w:t>
            </w:r>
          </w:p>
        </w:tc>
        <w:tc>
          <w:tcPr>
            <w:tcW w:w="5367" w:type="dxa"/>
            <w:tcBorders>
              <w:top w:val="nil"/>
              <w:left w:val="nil"/>
              <w:right w:val="nil"/>
            </w:tcBorders>
          </w:tcPr>
          <w:p w:rsidR="0081481C" w:rsidRPr="003F0703" w:rsidRDefault="00146098" w:rsidP="0066467A">
            <w:pPr>
              <w:ind w:firstLineChars="0" w:firstLine="0"/>
              <w:jc w:val="center"/>
              <w:rPr>
                <w:sz w:val="32"/>
              </w:rPr>
            </w:pPr>
            <w:r w:rsidRPr="003F0703">
              <w:rPr>
                <w:rFonts w:hint="eastAsia"/>
                <w:sz w:val="32"/>
              </w:rPr>
              <w:t>安徽省（水利部淮河水利委员会）水利科学研究院</w:t>
            </w:r>
          </w:p>
        </w:tc>
      </w:tr>
    </w:tbl>
    <w:p w:rsidR="0081481C" w:rsidRPr="0081481C" w:rsidRDefault="0081481C" w:rsidP="0066467A">
      <w:pPr>
        <w:rPr>
          <w:snapToGrid w:val="0"/>
        </w:rPr>
      </w:pPr>
    </w:p>
    <w:p w:rsidR="00FC77FD" w:rsidRDefault="00146098" w:rsidP="00401DCC">
      <w:pPr>
        <w:ind w:firstLineChars="0" w:firstLine="0"/>
        <w:jc w:val="center"/>
        <w:rPr>
          <w:snapToGrid w:val="0"/>
          <w:sz w:val="32"/>
        </w:rPr>
        <w:sectPr w:rsidR="00FC77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3F0703">
        <w:rPr>
          <w:rFonts w:hint="eastAsia"/>
          <w:snapToGrid w:val="0"/>
          <w:sz w:val="32"/>
        </w:rPr>
        <w:t>202</w:t>
      </w:r>
      <w:r w:rsidR="00142A3A" w:rsidRPr="003F0703">
        <w:rPr>
          <w:rFonts w:hint="eastAsia"/>
          <w:snapToGrid w:val="0"/>
          <w:sz w:val="32"/>
        </w:rPr>
        <w:t>1</w:t>
      </w:r>
      <w:r w:rsidR="0081481C" w:rsidRPr="003F0703">
        <w:rPr>
          <w:rFonts w:hint="eastAsia"/>
          <w:snapToGrid w:val="0"/>
          <w:sz w:val="32"/>
        </w:rPr>
        <w:t>年</w:t>
      </w:r>
      <w:r w:rsidR="0081481C" w:rsidRPr="003F0703">
        <w:rPr>
          <w:snapToGrid w:val="0"/>
          <w:sz w:val="32"/>
        </w:rPr>
        <w:t xml:space="preserve"> </w:t>
      </w:r>
      <w:r w:rsidR="00142A3A" w:rsidRPr="003F0703">
        <w:rPr>
          <w:snapToGrid w:val="0"/>
          <w:sz w:val="32"/>
        </w:rPr>
        <w:t>3</w:t>
      </w:r>
      <w:r w:rsidR="0081481C" w:rsidRPr="003F0703">
        <w:rPr>
          <w:snapToGrid w:val="0"/>
          <w:sz w:val="32"/>
        </w:rPr>
        <w:t xml:space="preserve"> </w:t>
      </w:r>
      <w:r w:rsidR="0081481C" w:rsidRPr="003F0703">
        <w:rPr>
          <w:rFonts w:hint="eastAsia"/>
          <w:snapToGrid w:val="0"/>
          <w:sz w:val="32"/>
        </w:rPr>
        <w:t>月</w:t>
      </w:r>
      <w:r w:rsidR="0081481C" w:rsidRPr="003F0703">
        <w:rPr>
          <w:snapToGrid w:val="0"/>
          <w:sz w:val="32"/>
        </w:rPr>
        <w:t xml:space="preserve"> </w:t>
      </w:r>
      <w:r w:rsidR="00142A3A" w:rsidRPr="003F0703">
        <w:rPr>
          <w:snapToGrid w:val="0"/>
          <w:sz w:val="32"/>
        </w:rPr>
        <w:t>3</w:t>
      </w:r>
      <w:r w:rsidR="0081481C" w:rsidRPr="003F0703">
        <w:rPr>
          <w:snapToGrid w:val="0"/>
          <w:sz w:val="32"/>
        </w:rPr>
        <w:t xml:space="preserve"> </w:t>
      </w:r>
      <w:r w:rsidR="0081481C" w:rsidRPr="003F0703">
        <w:rPr>
          <w:rFonts w:hint="eastAsia"/>
          <w:snapToGrid w:val="0"/>
          <w:sz w:val="32"/>
        </w:rPr>
        <w:t>日</w:t>
      </w:r>
    </w:p>
    <w:p w:rsidR="0081481C" w:rsidRPr="0081481C" w:rsidRDefault="0081481C" w:rsidP="00036E0F">
      <w:pPr>
        <w:spacing w:line="240" w:lineRule="auto"/>
        <w:ind w:firstLineChars="0" w:firstLine="0"/>
        <w:jc w:val="center"/>
      </w:pPr>
      <w:r w:rsidRPr="00036E0F">
        <w:rPr>
          <w:rFonts w:eastAsia="黑体" w:hint="eastAsia"/>
          <w:sz w:val="32"/>
          <w:szCs w:val="32"/>
        </w:rPr>
        <w:lastRenderedPageBreak/>
        <w:t>编制说明</w:t>
      </w:r>
    </w:p>
    <w:p w:rsidR="0081481C" w:rsidRPr="00F051FA" w:rsidRDefault="0081481C" w:rsidP="00F051FA">
      <w:pPr>
        <w:spacing w:line="240" w:lineRule="auto"/>
        <w:rPr>
          <w:rFonts w:eastAsia="黑体"/>
        </w:rPr>
      </w:pPr>
      <w:r w:rsidRPr="00F051FA">
        <w:rPr>
          <w:rFonts w:eastAsia="黑体" w:hint="eastAsia"/>
        </w:rPr>
        <w:t>一、工作简况</w:t>
      </w:r>
    </w:p>
    <w:p w:rsidR="003C70C9" w:rsidRDefault="008072A6" w:rsidP="0066467A">
      <w:r>
        <w:t>1.</w:t>
      </w:r>
      <w:r w:rsidR="003C70C9">
        <w:rPr>
          <w:rFonts w:hint="eastAsia"/>
        </w:rPr>
        <w:t>任务来源</w:t>
      </w:r>
    </w:p>
    <w:p w:rsidR="00401DCC" w:rsidRDefault="00401DCC" w:rsidP="00401DCC">
      <w:r>
        <w:rPr>
          <w:rFonts w:hint="eastAsia"/>
        </w:rPr>
        <w:t>蒸散发、潜水蒸发、土壤水是水文循环的重要组成部分，研究其变化规律对开展“四水”转化、水文循环、农田排水指标、农作物对地下水的利用量、有作物和无作物潜水蒸发规律、水均衡分析、生态环境等专项实验研究具有重要意义。</w:t>
      </w:r>
    </w:p>
    <w:p w:rsidR="00401DCC" w:rsidRDefault="00401DCC" w:rsidP="00401DCC">
      <w:r>
        <w:rPr>
          <w:rFonts w:hint="eastAsia"/>
        </w:rPr>
        <w:t>目前用于观测蒸散发、潜水蒸发、土壤水的仪器种类繁多，</w:t>
      </w:r>
      <w:proofErr w:type="gramStart"/>
      <w:r>
        <w:rPr>
          <w:rFonts w:hint="eastAsia"/>
        </w:rPr>
        <w:t>蒸渗仪法</w:t>
      </w:r>
      <w:proofErr w:type="gramEnd"/>
      <w:r>
        <w:rPr>
          <w:rFonts w:hint="eastAsia"/>
        </w:rPr>
        <w:t>可同时观测这三种水文要素。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作为标准的水文循环和地下水</w:t>
      </w:r>
      <w:r>
        <w:rPr>
          <w:rFonts w:hint="eastAsia"/>
        </w:rPr>
        <w:t>-</w:t>
      </w:r>
      <w:r>
        <w:rPr>
          <w:rFonts w:hint="eastAsia"/>
        </w:rPr>
        <w:t>土壤</w:t>
      </w:r>
      <w:r>
        <w:rPr>
          <w:rFonts w:hint="eastAsia"/>
        </w:rPr>
        <w:t>-</w:t>
      </w:r>
      <w:r>
        <w:rPr>
          <w:rFonts w:hint="eastAsia"/>
        </w:rPr>
        <w:t>植物</w:t>
      </w:r>
      <w:r>
        <w:rPr>
          <w:rFonts w:hint="eastAsia"/>
        </w:rPr>
        <w:t>-</w:t>
      </w:r>
      <w:r>
        <w:rPr>
          <w:rFonts w:hint="eastAsia"/>
        </w:rPr>
        <w:t>大气连续体（</w:t>
      </w:r>
      <w:r>
        <w:rPr>
          <w:rFonts w:hint="eastAsia"/>
        </w:rPr>
        <w:t>GSPAC</w:t>
      </w:r>
      <w:r>
        <w:rPr>
          <w:rFonts w:hint="eastAsia"/>
        </w:rPr>
        <w:t>）实验测量仪器之一，广泛应用于水文、气象、生态、环境、地质等领域，但国内外尚无相应</w:t>
      </w:r>
      <w:proofErr w:type="gramStart"/>
      <w:r>
        <w:rPr>
          <w:rFonts w:hint="eastAsia"/>
        </w:rPr>
        <w:t>的蒸渗仪观</w:t>
      </w:r>
      <w:proofErr w:type="gramEnd"/>
      <w:r>
        <w:rPr>
          <w:rFonts w:hint="eastAsia"/>
        </w:rPr>
        <w:t>测规范。</w:t>
      </w:r>
    </w:p>
    <w:p w:rsidR="00401DCC" w:rsidRDefault="00401DCC" w:rsidP="00401DCC">
      <w:r>
        <w:rPr>
          <w:rFonts w:hint="eastAsia"/>
        </w:rPr>
        <w:t>五道沟实验</w:t>
      </w:r>
      <w:r w:rsidR="00952F1B">
        <w:rPr>
          <w:rFonts w:hint="eastAsia"/>
        </w:rPr>
        <w:t>站</w:t>
      </w:r>
      <w:r>
        <w:rPr>
          <w:rFonts w:hint="eastAsia"/>
        </w:rPr>
        <w:t>始建于</w:t>
      </w:r>
      <w:r>
        <w:rPr>
          <w:rFonts w:hint="eastAsia"/>
        </w:rPr>
        <w:t>1953</w:t>
      </w:r>
      <w:r>
        <w:rPr>
          <w:rFonts w:hint="eastAsia"/>
        </w:rPr>
        <w:t>年，是新中国水文实验最先开始的地方，站内设有大型非称重式地中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60</w:t>
      </w:r>
      <w:r>
        <w:rPr>
          <w:rFonts w:hint="eastAsia"/>
        </w:rPr>
        <w:t>套、自动称重式地中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10</w:t>
      </w:r>
      <w:r>
        <w:rPr>
          <w:rFonts w:hint="eastAsia"/>
        </w:rPr>
        <w:t>套，非称重式地中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自布设以来已积累不间断</w:t>
      </w:r>
      <w:proofErr w:type="gramStart"/>
      <w:r>
        <w:rPr>
          <w:rFonts w:hint="eastAsia"/>
        </w:rPr>
        <w:t>长系列</w:t>
      </w:r>
      <w:proofErr w:type="gramEnd"/>
      <w:r>
        <w:rPr>
          <w:rFonts w:hint="eastAsia"/>
        </w:rPr>
        <w:t>观测资料，近年来增设</w:t>
      </w:r>
      <w:r>
        <w:rPr>
          <w:rFonts w:hint="eastAsia"/>
        </w:rPr>
        <w:t>10</w:t>
      </w:r>
      <w:r>
        <w:rPr>
          <w:rFonts w:hint="eastAsia"/>
        </w:rPr>
        <w:t>套自动称重式地中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（其中</w:t>
      </w:r>
      <w:r>
        <w:rPr>
          <w:rFonts w:hint="eastAsia"/>
        </w:rPr>
        <w:t>4</w:t>
      </w:r>
      <w:r>
        <w:rPr>
          <w:rFonts w:hint="eastAsia"/>
        </w:rPr>
        <w:t>套原状土、</w:t>
      </w:r>
      <w:r>
        <w:rPr>
          <w:rFonts w:hint="eastAsia"/>
        </w:rPr>
        <w:t>6</w:t>
      </w:r>
      <w:r>
        <w:rPr>
          <w:rFonts w:hint="eastAsia"/>
        </w:rPr>
        <w:t>套回填土），进一步丰富了观测资料。五道沟实验站在应用</w:t>
      </w:r>
      <w:proofErr w:type="gramStart"/>
      <w:r>
        <w:rPr>
          <w:rFonts w:hint="eastAsia"/>
        </w:rPr>
        <w:t>蒸渗仪开展</w:t>
      </w:r>
      <w:proofErr w:type="gramEnd"/>
      <w:r>
        <w:rPr>
          <w:rFonts w:hint="eastAsia"/>
        </w:rPr>
        <w:t>实验研究方面具有丰富的经验积累，资料成果显著。</w:t>
      </w:r>
    </w:p>
    <w:p w:rsidR="003C70C9" w:rsidRDefault="00401DCC" w:rsidP="00F50ABE">
      <w:r>
        <w:rPr>
          <w:rFonts w:hint="eastAsia"/>
        </w:rPr>
        <w:t>为规范</w:t>
      </w:r>
      <w:proofErr w:type="gramStart"/>
      <w:r>
        <w:rPr>
          <w:rFonts w:hint="eastAsia"/>
        </w:rPr>
        <w:t>蒸渗仪法</w:t>
      </w:r>
      <w:proofErr w:type="gramEnd"/>
      <w:r>
        <w:rPr>
          <w:rFonts w:hint="eastAsia"/>
        </w:rPr>
        <w:t>蒸散发、潜水蒸发、土壤水观测技术要求，</w:t>
      </w:r>
      <w:proofErr w:type="gramStart"/>
      <w:r>
        <w:rPr>
          <w:rFonts w:hint="eastAsia"/>
        </w:rPr>
        <w:t>明确蒸渗仪</w:t>
      </w:r>
      <w:r w:rsidR="00F50ABE">
        <w:rPr>
          <w:rFonts w:hint="eastAsia"/>
        </w:rPr>
        <w:t>法</w:t>
      </w:r>
      <w:proofErr w:type="gramEnd"/>
      <w:r>
        <w:rPr>
          <w:rFonts w:hint="eastAsia"/>
        </w:rPr>
        <w:t>观测</w:t>
      </w:r>
      <w:r w:rsidR="00F50ABE">
        <w:rPr>
          <w:rFonts w:hint="eastAsia"/>
        </w:rPr>
        <w:t>上述要素</w:t>
      </w:r>
      <w:r>
        <w:rPr>
          <w:rFonts w:hint="eastAsia"/>
        </w:rPr>
        <w:t>的工作内容，拟制定《蒸渗仪法蒸散发、潜水蒸发、土壤水观测规范》团体标准，本标准基于五道沟实验</w:t>
      </w:r>
      <w:proofErr w:type="gramStart"/>
      <w:r>
        <w:rPr>
          <w:rFonts w:hint="eastAsia"/>
        </w:rPr>
        <w:t>站蒸渗仪</w:t>
      </w:r>
      <w:r w:rsidR="00F50ABE">
        <w:rPr>
          <w:rFonts w:hint="eastAsia"/>
        </w:rPr>
        <w:t>法</w:t>
      </w:r>
      <w:proofErr w:type="gramEnd"/>
      <w:r>
        <w:rPr>
          <w:rFonts w:hint="eastAsia"/>
        </w:rPr>
        <w:t>观测经验与成果制定，将直接用于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实验观测，</w:t>
      </w:r>
      <w:proofErr w:type="gramStart"/>
      <w:r>
        <w:rPr>
          <w:rFonts w:hint="eastAsia"/>
        </w:rPr>
        <w:t>为蒸渗仪法</w:t>
      </w:r>
      <w:proofErr w:type="gramEnd"/>
      <w:r>
        <w:rPr>
          <w:rFonts w:hint="eastAsia"/>
        </w:rPr>
        <w:t>蒸</w:t>
      </w:r>
      <w:r>
        <w:rPr>
          <w:rFonts w:hint="eastAsia"/>
        </w:rPr>
        <w:lastRenderedPageBreak/>
        <w:t>散发、潜水蒸发、土壤水观测提供技术支撑，对提高观测数据质量等帮助显著。</w:t>
      </w:r>
    </w:p>
    <w:p w:rsidR="003C70C9" w:rsidRPr="0066467A" w:rsidRDefault="003C70C9" w:rsidP="0066467A">
      <w:r w:rsidRPr="0066467A">
        <w:t>2.</w:t>
      </w:r>
      <w:r w:rsidRPr="0066467A">
        <w:rPr>
          <w:rFonts w:hint="eastAsia"/>
        </w:rPr>
        <w:t>工作过程</w:t>
      </w:r>
    </w:p>
    <w:p w:rsidR="003C70C9" w:rsidRDefault="00F50ABE" w:rsidP="0066467A">
      <w:r>
        <w:t>2020</w:t>
      </w:r>
      <w:r>
        <w:rPr>
          <w:rFonts w:hint="eastAsia"/>
        </w:rPr>
        <w:t>年</w:t>
      </w:r>
      <w:r w:rsidR="006316E0">
        <w:rPr>
          <w:rFonts w:hint="eastAsia"/>
        </w:rPr>
        <w:t>1</w:t>
      </w:r>
      <w:r w:rsidR="006316E0">
        <w:rPr>
          <w:rFonts w:hint="eastAsia"/>
        </w:rPr>
        <w:t>月</w:t>
      </w:r>
      <w:r>
        <w:rPr>
          <w:rFonts w:hint="eastAsia"/>
        </w:rPr>
        <w:t>，初步组建标准编制项目组，</w:t>
      </w:r>
      <w:r w:rsidR="00D92695">
        <w:rPr>
          <w:rFonts w:hint="eastAsia"/>
        </w:rPr>
        <w:t>邀请中国水利学会水文专业委员会、水利部淮委水文局等单位专家给予技术指导，确定标准</w:t>
      </w:r>
      <w:r w:rsidR="006316E0">
        <w:rPr>
          <w:rFonts w:hint="eastAsia"/>
        </w:rPr>
        <w:t>编制的主题和技术思路。</w:t>
      </w:r>
    </w:p>
    <w:p w:rsidR="006316E0" w:rsidRDefault="006316E0" w:rsidP="006316E0">
      <w:pPr>
        <w:pStyle w:val="a0"/>
      </w:pPr>
      <w:r>
        <w:t>2020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t>-3</w:t>
      </w:r>
      <w:r>
        <w:rPr>
          <w:rFonts w:hint="eastAsia"/>
        </w:rPr>
        <w:t>月，疫情期间，居家编写标准初稿，并采取线上视频交流的形式，对标准编制过程中出现的难题进行探讨交流，不断修改并完善标准初稿。</w:t>
      </w:r>
    </w:p>
    <w:p w:rsidR="006316E0" w:rsidRPr="006316E0" w:rsidRDefault="006316E0" w:rsidP="006316E0">
      <w:pPr>
        <w:pStyle w:val="a0"/>
      </w:pP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月，标准编制项目组</w:t>
      </w:r>
      <w:r w:rsidR="003D28EA">
        <w:rPr>
          <w:rFonts w:hint="eastAsia"/>
        </w:rPr>
        <w:t>来到</w:t>
      </w:r>
      <w:r>
        <w:rPr>
          <w:rFonts w:hint="eastAsia"/>
        </w:rPr>
        <w:t>五道沟实验站</w:t>
      </w:r>
      <w:r w:rsidR="003D28EA">
        <w:rPr>
          <w:rFonts w:hint="eastAsia"/>
        </w:rPr>
        <w:t>封闭学习</w:t>
      </w:r>
      <w:r>
        <w:rPr>
          <w:rFonts w:hint="eastAsia"/>
        </w:rPr>
        <w:t>，开展</w:t>
      </w:r>
      <w:proofErr w:type="gramStart"/>
      <w:r>
        <w:rPr>
          <w:rFonts w:hint="eastAsia"/>
        </w:rPr>
        <w:t>蒸渗仪法</w:t>
      </w:r>
      <w:proofErr w:type="gramEnd"/>
      <w:r>
        <w:rPr>
          <w:rFonts w:hint="eastAsia"/>
        </w:rPr>
        <w:t>蒸散发、潜水蒸发、土壤水实验观测</w:t>
      </w:r>
      <w:r w:rsidR="003D28EA">
        <w:rPr>
          <w:rFonts w:hint="eastAsia"/>
        </w:rPr>
        <w:t>工作</w:t>
      </w:r>
      <w:r>
        <w:rPr>
          <w:rFonts w:hint="eastAsia"/>
        </w:rPr>
        <w:t>，对观测技术要点和注意事项</w:t>
      </w:r>
      <w:r w:rsidR="003D28EA">
        <w:rPr>
          <w:rFonts w:hint="eastAsia"/>
        </w:rPr>
        <w:t>进行深入了解，丰富和细化标准编写技术内容。</w:t>
      </w:r>
    </w:p>
    <w:p w:rsidR="00AC1574" w:rsidRDefault="003D28EA" w:rsidP="0066467A">
      <w:pPr>
        <w:pStyle w:val="a0"/>
      </w:pP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月，形成标准征求意见稿并填写标准立项申请书。</w:t>
      </w:r>
    </w:p>
    <w:p w:rsidR="003D28EA" w:rsidRPr="00AC1574" w:rsidRDefault="003D28EA" w:rsidP="0066467A">
      <w:pPr>
        <w:pStyle w:val="a0"/>
      </w:pPr>
      <w: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日，</w:t>
      </w:r>
      <w:r w:rsidR="00FC77FD" w:rsidRPr="00FC77FD">
        <w:rPr>
          <w:rFonts w:hint="eastAsia"/>
        </w:rPr>
        <w:t>中国水利学会在安徽省蚌埠市组织召开专家论证会议</w:t>
      </w:r>
      <w:r w:rsidR="00BF1F1F">
        <w:rPr>
          <w:rFonts w:hint="eastAsia"/>
        </w:rPr>
        <w:t>，对</w:t>
      </w:r>
      <w:r w:rsidR="00BF1F1F" w:rsidRPr="00BF1F1F">
        <w:rPr>
          <w:rFonts w:hint="eastAsia"/>
        </w:rPr>
        <w:t>《蒸渗仪法蒸散发、潜水蒸发、土壤水实验观测规范》团体标准进行了立项论证，</w:t>
      </w:r>
      <w:r w:rsidR="00BF1F1F">
        <w:rPr>
          <w:rFonts w:hint="eastAsia"/>
        </w:rPr>
        <w:t>同意标准立项，并经过质询讨论，对标准技术内容提出意见和建议。</w:t>
      </w:r>
    </w:p>
    <w:p w:rsidR="003C70C9" w:rsidRPr="003C70C9" w:rsidRDefault="0066467A" w:rsidP="0066467A">
      <w:r>
        <w:rPr>
          <w:rFonts w:hint="eastAsia"/>
        </w:rPr>
        <w:t>3.</w:t>
      </w:r>
      <w:r>
        <w:rPr>
          <w:rFonts w:hint="eastAsia"/>
        </w:rPr>
        <w:t>主要起草人及其所做的工作</w:t>
      </w:r>
    </w:p>
    <w:p w:rsidR="0081481C" w:rsidRPr="0081481C" w:rsidRDefault="00DA2FE1" w:rsidP="00DA2FE1">
      <w:r>
        <w:rPr>
          <w:rFonts w:hint="eastAsia"/>
        </w:rPr>
        <w:t>本标准由</w:t>
      </w:r>
      <w:r w:rsidR="000B1D2A">
        <w:rPr>
          <w:rFonts w:hint="eastAsia"/>
        </w:rPr>
        <w:t>安徽省（水利部淮河水利委员会）水利科学研究院、中国水利学会水文专业委员会、水利部淮委水文局、阜阳市水资源管理处、安徽省水利水电勘测设计研究总院有限公司、五道沟水文水资源实验站</w:t>
      </w:r>
      <w:r>
        <w:rPr>
          <w:rFonts w:hint="eastAsia"/>
        </w:rPr>
        <w:t>共同编制，标准主要起草人为</w:t>
      </w:r>
      <w:proofErr w:type="gramStart"/>
      <w:r w:rsidR="000B1D2A">
        <w:rPr>
          <w:rFonts w:hint="eastAsia"/>
        </w:rPr>
        <w:t>司巧灵</w:t>
      </w:r>
      <w:proofErr w:type="gramEnd"/>
      <w:r w:rsidR="000B1D2A">
        <w:rPr>
          <w:rFonts w:hint="eastAsia"/>
        </w:rPr>
        <w:t>、王敏杰、董涛、李瑞、</w:t>
      </w:r>
      <w:r w:rsidR="000B1D2A">
        <w:rPr>
          <w:rFonts w:hint="eastAsia"/>
        </w:rPr>
        <w:lastRenderedPageBreak/>
        <w:t>赵瑾、袁红武、钱筱暄、许一、陈竹青、张圣楠、时召军</w:t>
      </w:r>
      <w:r w:rsidR="001C01B6">
        <w:rPr>
          <w:rFonts w:hint="eastAsia"/>
        </w:rPr>
        <w:t>、赵家祥、穆禹函、胡永胜、胡军、董国强、成春生、汪亚腾、王振龙</w:t>
      </w:r>
      <w:r w:rsidR="0081481C" w:rsidRPr="0081481C">
        <w:rPr>
          <w:rFonts w:hint="eastAsia"/>
        </w:rPr>
        <w:t>。</w:t>
      </w:r>
    </w:p>
    <w:p w:rsidR="0081481C" w:rsidRPr="00F051FA" w:rsidRDefault="0081481C" w:rsidP="00F051FA">
      <w:pPr>
        <w:spacing w:line="240" w:lineRule="auto"/>
        <w:rPr>
          <w:rFonts w:eastAsia="黑体"/>
        </w:rPr>
      </w:pPr>
      <w:r w:rsidRPr="00F051FA">
        <w:rPr>
          <w:rFonts w:eastAsia="黑体" w:hint="eastAsia"/>
        </w:rPr>
        <w:t>二、主要内容说明及来源依据</w:t>
      </w:r>
    </w:p>
    <w:p w:rsidR="0088358A" w:rsidRDefault="0088358A" w:rsidP="0066467A">
      <w:r>
        <w:t>1.</w:t>
      </w:r>
      <w:r>
        <w:rPr>
          <w:rFonts w:hint="eastAsia"/>
        </w:rPr>
        <w:t>规定了适用范围</w:t>
      </w:r>
    </w:p>
    <w:p w:rsidR="0088358A" w:rsidRDefault="00BE46C6" w:rsidP="0088358A">
      <w:pPr>
        <w:pStyle w:val="a0"/>
      </w:pPr>
      <w:r>
        <w:rPr>
          <w:rFonts w:hint="eastAsia"/>
        </w:rPr>
        <w:t>本标准</w:t>
      </w:r>
      <w:r w:rsidRPr="00BE46C6">
        <w:rPr>
          <w:rFonts w:hint="eastAsia"/>
        </w:rPr>
        <w:t>适用于</w:t>
      </w:r>
      <w:proofErr w:type="gramStart"/>
      <w:r w:rsidRPr="00BE46C6">
        <w:rPr>
          <w:rFonts w:hint="eastAsia"/>
        </w:rPr>
        <w:t>蒸渗仪法</w:t>
      </w:r>
      <w:proofErr w:type="gramEnd"/>
      <w:r w:rsidRPr="00BE46C6">
        <w:rPr>
          <w:rFonts w:hint="eastAsia"/>
        </w:rPr>
        <w:t>蒸散发、潜水蒸发、土壤水动态要素的观测及影响因素实验研究。</w:t>
      </w:r>
    </w:p>
    <w:p w:rsidR="0088358A" w:rsidRDefault="0088358A" w:rsidP="0088358A">
      <w:pPr>
        <w:pStyle w:val="a0"/>
      </w:pPr>
      <w:r>
        <w:t>2.</w:t>
      </w:r>
      <w:r>
        <w:rPr>
          <w:rFonts w:hint="eastAsia"/>
        </w:rPr>
        <w:t>规定了方法原理</w:t>
      </w:r>
    </w:p>
    <w:p w:rsidR="00A66F32" w:rsidRDefault="00A66F32" w:rsidP="00A66F32">
      <w:proofErr w:type="gramStart"/>
      <w:r w:rsidRPr="00A66F32">
        <w:rPr>
          <w:rFonts w:hint="eastAsia"/>
        </w:rPr>
        <w:t>蒸渗仪</w:t>
      </w:r>
      <w:proofErr w:type="gramEnd"/>
      <w:r w:rsidRPr="00A66F32">
        <w:rPr>
          <w:rFonts w:hint="eastAsia"/>
        </w:rPr>
        <w:t>是测量水文循环和地下水</w:t>
      </w:r>
      <w:r w:rsidRPr="00A66F32">
        <w:rPr>
          <w:rFonts w:hint="eastAsia"/>
        </w:rPr>
        <w:t>-</w:t>
      </w:r>
      <w:r w:rsidRPr="00A66F32">
        <w:rPr>
          <w:rFonts w:hint="eastAsia"/>
        </w:rPr>
        <w:t>土壤</w:t>
      </w:r>
      <w:r w:rsidRPr="00A66F32">
        <w:rPr>
          <w:rFonts w:hint="eastAsia"/>
        </w:rPr>
        <w:t>-</w:t>
      </w:r>
      <w:r w:rsidRPr="00A66F32">
        <w:rPr>
          <w:rFonts w:hint="eastAsia"/>
        </w:rPr>
        <w:t>植物</w:t>
      </w:r>
      <w:r w:rsidRPr="00A66F32">
        <w:rPr>
          <w:rFonts w:hint="eastAsia"/>
        </w:rPr>
        <w:t>-</w:t>
      </w:r>
      <w:r w:rsidRPr="00A66F32">
        <w:rPr>
          <w:rFonts w:hint="eastAsia"/>
        </w:rPr>
        <w:t>大气连续体（</w:t>
      </w:r>
      <w:r w:rsidRPr="00A66F32">
        <w:rPr>
          <w:rFonts w:hint="eastAsia"/>
        </w:rPr>
        <w:t>GSPAC</w:t>
      </w:r>
      <w:r w:rsidRPr="00A66F32">
        <w:rPr>
          <w:rFonts w:hint="eastAsia"/>
        </w:rPr>
        <w:t>）水平衡要素的标准仪器之一，广泛应用于水文、气象、生态、环境、地质等领域。</w:t>
      </w:r>
      <w:r>
        <w:rPr>
          <w:rFonts w:hint="eastAsia"/>
        </w:rPr>
        <w:t>本标准规定了</w:t>
      </w:r>
      <w:proofErr w:type="gramStart"/>
      <w:r>
        <w:rPr>
          <w:rFonts w:hint="eastAsia"/>
        </w:rPr>
        <w:t>蒸渗仪法</w:t>
      </w:r>
      <w:proofErr w:type="gramEnd"/>
      <w:r>
        <w:rPr>
          <w:rFonts w:hint="eastAsia"/>
        </w:rPr>
        <w:t>测量</w:t>
      </w:r>
      <w:r w:rsidRPr="00A66F32">
        <w:rPr>
          <w:rFonts w:hint="eastAsia"/>
        </w:rPr>
        <w:t>蒸散发、潜水蒸发、土壤水</w:t>
      </w:r>
      <w:r>
        <w:rPr>
          <w:rFonts w:hint="eastAsia"/>
        </w:rPr>
        <w:t>三要素的技术内容。</w:t>
      </w:r>
    </w:p>
    <w:p w:rsidR="0088358A" w:rsidRDefault="00A66F32" w:rsidP="005F78EC"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分为非称重式和称重式两种。非称重</w:t>
      </w:r>
      <w:proofErr w:type="gramStart"/>
      <w:r>
        <w:rPr>
          <w:rFonts w:hint="eastAsia"/>
        </w:rPr>
        <w:t>式蒸渗仪</w:t>
      </w:r>
      <w:r w:rsidR="00E76B55">
        <w:rPr>
          <w:rFonts w:hint="eastAsia"/>
        </w:rPr>
        <w:t>由蒸渗</w:t>
      </w:r>
      <w:proofErr w:type="gramEnd"/>
      <w:r w:rsidR="00E76B55">
        <w:rPr>
          <w:rFonts w:hint="eastAsia"/>
        </w:rPr>
        <w:t>系统、量测系统、给排水系统组成，其量测系统通过马氏瓶原理观测有、无作物情况下的潜水蒸发量。称重</w:t>
      </w:r>
      <w:proofErr w:type="gramStart"/>
      <w:r w:rsidR="00E76B55">
        <w:rPr>
          <w:rFonts w:hint="eastAsia"/>
        </w:rPr>
        <w:t>式蒸渗仪</w:t>
      </w:r>
      <w:r w:rsidR="00E76B55" w:rsidRPr="00E76B55">
        <w:rPr>
          <w:rFonts w:hint="eastAsia"/>
        </w:rPr>
        <w:t>主要由蒸渗</w:t>
      </w:r>
      <w:proofErr w:type="gramEnd"/>
      <w:r w:rsidR="00E76B55" w:rsidRPr="00E76B55">
        <w:rPr>
          <w:rFonts w:hint="eastAsia"/>
        </w:rPr>
        <w:t>系统、称重系统、给排水系统、数据采集系统组成</w:t>
      </w:r>
      <w:r w:rsidR="00E76B55">
        <w:rPr>
          <w:rFonts w:hint="eastAsia"/>
        </w:rPr>
        <w:t>，</w:t>
      </w:r>
      <w:r w:rsidR="0038011A">
        <w:rPr>
          <w:rFonts w:hint="eastAsia"/>
        </w:rPr>
        <w:t>根据质量守恒原理，</w:t>
      </w:r>
      <w:r w:rsidR="00E76B55">
        <w:rPr>
          <w:rFonts w:hint="eastAsia"/>
        </w:rPr>
        <w:t>其称重系统采用压力传感器自动测</w:t>
      </w:r>
      <w:r w:rsidR="00863FE0">
        <w:rPr>
          <w:rFonts w:hint="eastAsia"/>
        </w:rPr>
        <w:t>得有、无作物情况下的蒸散发量、潜水蒸发量。</w:t>
      </w:r>
      <w:proofErr w:type="gramStart"/>
      <w:r w:rsidR="00863FE0">
        <w:rPr>
          <w:rFonts w:hint="eastAsia"/>
        </w:rPr>
        <w:t>蒸渗仪法</w:t>
      </w:r>
      <w:proofErr w:type="gramEnd"/>
      <w:r w:rsidR="00863FE0">
        <w:rPr>
          <w:rFonts w:hint="eastAsia"/>
        </w:rPr>
        <w:t>土壤水观测是采用土壤水监测仪器</w:t>
      </w:r>
      <w:proofErr w:type="gramStart"/>
      <w:r w:rsidR="00863FE0">
        <w:rPr>
          <w:rFonts w:hint="eastAsia"/>
        </w:rPr>
        <w:t>获得蒸渗罐体</w:t>
      </w:r>
      <w:proofErr w:type="gramEnd"/>
      <w:r w:rsidR="00863FE0">
        <w:rPr>
          <w:rFonts w:hint="eastAsia"/>
        </w:rPr>
        <w:t>内实时土壤体积含水量。</w:t>
      </w:r>
    </w:p>
    <w:p w:rsidR="0088358A" w:rsidRDefault="0088358A" w:rsidP="0088358A">
      <w:pPr>
        <w:pStyle w:val="a0"/>
      </w:pPr>
      <w:r>
        <w:t>3.</w:t>
      </w:r>
      <w:r w:rsidR="00CE3DCB">
        <w:rPr>
          <w:rFonts w:hint="eastAsia"/>
        </w:rPr>
        <w:t>规范了观测</w:t>
      </w:r>
      <w:r w:rsidR="0038011A">
        <w:rPr>
          <w:rFonts w:hint="eastAsia"/>
        </w:rPr>
        <w:t>方式</w:t>
      </w:r>
    </w:p>
    <w:p w:rsidR="0038011A" w:rsidRDefault="0038011A" w:rsidP="0088358A">
      <w:pPr>
        <w:pStyle w:val="a0"/>
      </w:pPr>
      <w:r w:rsidRPr="0038011A">
        <w:rPr>
          <w:rFonts w:hint="eastAsia"/>
        </w:rPr>
        <w:t>实验观测应以自动观测为主，并进行定期或不定期人工校测。</w:t>
      </w:r>
    </w:p>
    <w:p w:rsidR="00686174" w:rsidRDefault="0038011A" w:rsidP="0088358A">
      <w:pPr>
        <w:pStyle w:val="a0"/>
      </w:pPr>
      <w:r w:rsidRPr="0038011A">
        <w:rPr>
          <w:rFonts w:hint="eastAsia"/>
        </w:rPr>
        <w:t>称重</w:t>
      </w:r>
      <w:proofErr w:type="gramStart"/>
      <w:r w:rsidRPr="0038011A">
        <w:rPr>
          <w:rFonts w:hint="eastAsia"/>
        </w:rPr>
        <w:t>式蒸渗仪</w:t>
      </w:r>
      <w:proofErr w:type="gramEnd"/>
      <w:r w:rsidRPr="0038011A">
        <w:rPr>
          <w:rFonts w:hint="eastAsia"/>
        </w:rPr>
        <w:t>采用压力传感器自动测得</w:t>
      </w:r>
      <w:r>
        <w:rPr>
          <w:rFonts w:hint="eastAsia"/>
        </w:rPr>
        <w:t>实验数据，</w:t>
      </w:r>
      <w:r w:rsidRPr="0038011A">
        <w:rPr>
          <w:rFonts w:hint="eastAsia"/>
        </w:rPr>
        <w:t>采集数据传输至终端服务器，可供查询、下载、存储。数据输出时间间隔根据实验</w:t>
      </w:r>
      <w:r w:rsidRPr="0038011A">
        <w:rPr>
          <w:rFonts w:hint="eastAsia"/>
        </w:rPr>
        <w:lastRenderedPageBreak/>
        <w:t>需求设定，一般不小于</w:t>
      </w:r>
      <w:r w:rsidRPr="0038011A">
        <w:rPr>
          <w:rFonts w:hint="eastAsia"/>
        </w:rPr>
        <w:t>10min</w:t>
      </w:r>
      <w:r w:rsidRPr="0038011A">
        <w:rPr>
          <w:rFonts w:hint="eastAsia"/>
        </w:rPr>
        <w:t>。</w:t>
      </w:r>
    </w:p>
    <w:p w:rsidR="0038011A" w:rsidRDefault="0038011A" w:rsidP="0038011A">
      <w:pPr>
        <w:pStyle w:val="a0"/>
      </w:pPr>
      <w:r>
        <w:rPr>
          <w:rFonts w:hint="eastAsia"/>
        </w:rPr>
        <w:t>非称重</w:t>
      </w:r>
      <w:proofErr w:type="gramStart"/>
      <w:r>
        <w:rPr>
          <w:rFonts w:hint="eastAsia"/>
        </w:rPr>
        <w:t>式蒸渗仪</w:t>
      </w:r>
      <w:proofErr w:type="gramEnd"/>
      <w:r>
        <w:rPr>
          <w:rFonts w:hint="eastAsia"/>
        </w:rPr>
        <w:t>有人工观测和自动采集两种方式。人工观测以每日</w:t>
      </w:r>
      <w:r>
        <w:rPr>
          <w:rFonts w:hint="eastAsia"/>
        </w:rPr>
        <w:t>08</w:t>
      </w:r>
      <w:r>
        <w:rPr>
          <w:rFonts w:hint="eastAsia"/>
        </w:rPr>
        <w:t>时作为日分界。通过量测系统（马氏瓶）获取水位值，读取马氏瓶水位应使视线与水面凹面最低处平齐，并校对读数一次。人工观测可根据实际需要按时段、昼夜等增加实验观测次数，</w:t>
      </w:r>
      <w:proofErr w:type="gramStart"/>
      <w:r>
        <w:rPr>
          <w:rFonts w:hint="eastAsia"/>
        </w:rPr>
        <w:t>每日</w:t>
      </w:r>
      <w:r>
        <w:rPr>
          <w:rFonts w:hint="eastAsia"/>
        </w:rPr>
        <w:t>20</w:t>
      </w:r>
      <w:r>
        <w:rPr>
          <w:rFonts w:hint="eastAsia"/>
        </w:rPr>
        <w:t>时加测一次</w:t>
      </w:r>
      <w:proofErr w:type="gramEnd"/>
      <w:r>
        <w:rPr>
          <w:rFonts w:hint="eastAsia"/>
        </w:rPr>
        <w:t>，以研究潜水蒸发量的昼夜变化特征，昼蒸发量（</w:t>
      </w:r>
      <w:r>
        <w:rPr>
          <w:rFonts w:hint="eastAsia"/>
        </w:rPr>
        <w:t>8</w:t>
      </w:r>
      <w:r>
        <w:rPr>
          <w:rFonts w:hint="eastAsia"/>
        </w:rPr>
        <w:t>时</w:t>
      </w:r>
      <w:r>
        <w:rPr>
          <w:rFonts w:hint="eastAsia"/>
        </w:rPr>
        <w:t>~20</w:t>
      </w:r>
      <w:r>
        <w:rPr>
          <w:rFonts w:hint="eastAsia"/>
        </w:rPr>
        <w:t>时）和夜蒸发量（</w:t>
      </w:r>
      <w:r>
        <w:rPr>
          <w:rFonts w:hint="eastAsia"/>
        </w:rPr>
        <w:t>20</w:t>
      </w:r>
      <w:r>
        <w:rPr>
          <w:rFonts w:hint="eastAsia"/>
        </w:rPr>
        <w:t>时</w:t>
      </w:r>
      <w:r>
        <w:rPr>
          <w:rFonts w:hint="eastAsia"/>
        </w:rPr>
        <w:t>~</w:t>
      </w:r>
      <w:r>
        <w:rPr>
          <w:rFonts w:hint="eastAsia"/>
        </w:rPr>
        <w:t>次日</w:t>
      </w:r>
      <w:r>
        <w:rPr>
          <w:rFonts w:hint="eastAsia"/>
        </w:rPr>
        <w:t>8</w:t>
      </w:r>
      <w:r>
        <w:rPr>
          <w:rFonts w:hint="eastAsia"/>
        </w:rPr>
        <w:t>时）。自动采集通过传感器获取水位值，时段内水位变化量即潜水蒸发值。自动采集根据实验需求设定数据输出时间间隔，一般不小于</w:t>
      </w:r>
      <w:r>
        <w:rPr>
          <w:rFonts w:hint="eastAsia"/>
        </w:rPr>
        <w:t>10min</w:t>
      </w:r>
      <w:r>
        <w:rPr>
          <w:rFonts w:hint="eastAsia"/>
        </w:rPr>
        <w:t>，可以输出潜水蒸发动态变化过程。观测数据传输至终端服务器，可供查询、下载、存储。</w:t>
      </w:r>
    </w:p>
    <w:p w:rsidR="00CE3DCB" w:rsidRPr="0088358A" w:rsidRDefault="00CE3DCB" w:rsidP="0088358A">
      <w:pPr>
        <w:pStyle w:val="a0"/>
      </w:pPr>
      <w:r>
        <w:t>4.</w:t>
      </w:r>
      <w:r>
        <w:rPr>
          <w:rFonts w:hint="eastAsia"/>
        </w:rPr>
        <w:t>提出了数据处理和资料整编技术要求</w:t>
      </w:r>
    </w:p>
    <w:p w:rsidR="0088358A" w:rsidRDefault="00B8408F" w:rsidP="0066467A">
      <w:r>
        <w:rPr>
          <w:rFonts w:hint="eastAsia"/>
        </w:rPr>
        <w:t>实验资料应包括说明资料和观测资料两种。其中，</w:t>
      </w:r>
      <w:r w:rsidRPr="00B8408F">
        <w:rPr>
          <w:rFonts w:hint="eastAsia"/>
        </w:rPr>
        <w:t>说明资料包括基本资料收集、考证、整理的概述与分析说明，观测仪器设备资料，仪器</w:t>
      </w:r>
      <w:proofErr w:type="gramStart"/>
      <w:r w:rsidRPr="00B8408F">
        <w:rPr>
          <w:rFonts w:hint="eastAsia"/>
        </w:rPr>
        <w:t>率定资料</w:t>
      </w:r>
      <w:proofErr w:type="gramEnd"/>
      <w:r w:rsidRPr="00B8408F">
        <w:rPr>
          <w:rFonts w:hint="eastAsia"/>
        </w:rPr>
        <w:t>等</w:t>
      </w:r>
      <w:r>
        <w:rPr>
          <w:rFonts w:hint="eastAsia"/>
        </w:rPr>
        <w:t>；</w:t>
      </w:r>
      <w:r w:rsidRPr="00B8408F">
        <w:rPr>
          <w:rFonts w:hint="eastAsia"/>
        </w:rPr>
        <w:t>观测资料包括蒸散发观测资料、潜水蒸发观测资料、土壤水观测资料。</w:t>
      </w:r>
    </w:p>
    <w:p w:rsidR="0088358A" w:rsidRDefault="00F11D4F" w:rsidP="0066467A">
      <w:r>
        <w:rPr>
          <w:rFonts w:hint="eastAsia"/>
        </w:rPr>
        <w:t>实验</w:t>
      </w:r>
      <w:r w:rsidRPr="00F11D4F">
        <w:rPr>
          <w:rFonts w:hint="eastAsia"/>
        </w:rPr>
        <w:t>数据按月整理成册，每月上旬日对上一个月观测数据进行处理，形成《作物蒸散发观测记录本》、《潜水蒸发数据报表》、《土壤水观测记录本》。并按需要编制图表，编制图表应包括各种过程线图、要素相关图、各种实测成果表及其他辅助计算图表等。</w:t>
      </w:r>
    </w:p>
    <w:p w:rsidR="0081481C" w:rsidRPr="00F051FA" w:rsidRDefault="0081481C" w:rsidP="00F051FA">
      <w:pPr>
        <w:spacing w:line="240" w:lineRule="auto"/>
        <w:rPr>
          <w:rFonts w:eastAsia="黑体"/>
        </w:rPr>
      </w:pPr>
      <w:r w:rsidRPr="00F051FA">
        <w:rPr>
          <w:rFonts w:eastAsia="黑体" w:hint="eastAsia"/>
        </w:rPr>
        <w:t>三、专利情况说明</w:t>
      </w:r>
    </w:p>
    <w:p w:rsidR="00087042" w:rsidRDefault="003640FB" w:rsidP="0066467A">
      <w:pPr>
        <w:pStyle w:val="a0"/>
      </w:pPr>
      <w:r>
        <w:rPr>
          <w:rFonts w:hint="eastAsia"/>
        </w:rPr>
        <w:t>无</w:t>
      </w:r>
    </w:p>
    <w:p w:rsidR="00986629" w:rsidRDefault="00986629" w:rsidP="0066467A">
      <w:pPr>
        <w:pStyle w:val="a0"/>
        <w:rPr>
          <w:rFonts w:hint="eastAsia"/>
        </w:rPr>
      </w:pPr>
    </w:p>
    <w:p w:rsidR="0081481C" w:rsidRPr="00F051FA" w:rsidRDefault="0081481C" w:rsidP="00F051FA">
      <w:pPr>
        <w:spacing w:line="240" w:lineRule="auto"/>
        <w:rPr>
          <w:rFonts w:eastAsia="黑体"/>
        </w:rPr>
      </w:pPr>
      <w:r w:rsidRPr="00F051FA">
        <w:rPr>
          <w:rFonts w:eastAsia="黑体" w:hint="eastAsia"/>
        </w:rPr>
        <w:lastRenderedPageBreak/>
        <w:t>四、与相关标准的关系分析</w:t>
      </w:r>
    </w:p>
    <w:p w:rsidR="0081481C" w:rsidRDefault="00C93A3D" w:rsidP="0066467A">
      <w:r>
        <w:t>1.</w:t>
      </w:r>
      <w:r w:rsidR="0081481C" w:rsidRPr="0081481C">
        <w:rPr>
          <w:rFonts w:hint="eastAsia"/>
        </w:rPr>
        <w:t>与国际、国外同类</w:t>
      </w:r>
      <w:r w:rsidR="00A51B58">
        <w:rPr>
          <w:rFonts w:hint="eastAsia"/>
        </w:rPr>
        <w:t>标准水平的对比情况，或与测试的国外样品、样机的有关数据对比情况</w:t>
      </w:r>
      <w:r w:rsidR="00E64477">
        <w:rPr>
          <w:rFonts w:hint="eastAsia"/>
        </w:rPr>
        <w:t>。</w:t>
      </w:r>
    </w:p>
    <w:p w:rsidR="00A51B58" w:rsidRPr="00A51B58" w:rsidRDefault="00A51B58" w:rsidP="00A51B58">
      <w:pPr>
        <w:pStyle w:val="a0"/>
      </w:pPr>
      <w:r>
        <w:rPr>
          <w:rFonts w:hint="eastAsia"/>
        </w:rPr>
        <w:t>无</w:t>
      </w:r>
      <w:r w:rsidRPr="0081481C">
        <w:rPr>
          <w:rFonts w:hint="eastAsia"/>
        </w:rPr>
        <w:t>国际、国外同类标准</w:t>
      </w:r>
      <w:r>
        <w:rPr>
          <w:rFonts w:hint="eastAsia"/>
        </w:rPr>
        <w:t>可比对。</w:t>
      </w:r>
    </w:p>
    <w:p w:rsidR="0081481C" w:rsidRDefault="0081481C" w:rsidP="0066467A">
      <w:r w:rsidRPr="0081481C">
        <w:t xml:space="preserve">2. </w:t>
      </w:r>
      <w:r w:rsidRPr="0081481C">
        <w:rPr>
          <w:rFonts w:hint="eastAsia"/>
        </w:rPr>
        <w:t>与国内相关标准协调性分析</w:t>
      </w:r>
    </w:p>
    <w:p w:rsidR="00002E84" w:rsidRDefault="00002E84" w:rsidP="00002E84">
      <w:pPr>
        <w:pStyle w:val="a0"/>
      </w:pPr>
      <w:r w:rsidRPr="00002E84">
        <w:rPr>
          <w:rFonts w:hint="eastAsia"/>
        </w:rPr>
        <w:t>本标准符合法律法规、规章的规定，符合</w:t>
      </w:r>
      <w:r w:rsidRPr="00002E84">
        <w:rPr>
          <w:rFonts w:hint="eastAsia"/>
        </w:rPr>
        <w:t>GB/T 1.1-2009</w:t>
      </w:r>
      <w:r w:rsidRPr="00002E84">
        <w:rPr>
          <w:rFonts w:hint="eastAsia"/>
        </w:rPr>
        <w:t>的标准编制要求。本标准涉及的相关国家、行业标准包括：《水文仪器术语及符号》（</w:t>
      </w:r>
      <w:r w:rsidRPr="00002E84">
        <w:rPr>
          <w:rFonts w:hint="eastAsia"/>
        </w:rPr>
        <w:t>GB/T 19677-2005</w:t>
      </w:r>
      <w:r w:rsidRPr="00002E84">
        <w:rPr>
          <w:rFonts w:hint="eastAsia"/>
        </w:rPr>
        <w:t>）、《地面气象观测规范》（</w:t>
      </w:r>
      <w:r w:rsidRPr="00002E84">
        <w:rPr>
          <w:rFonts w:hint="eastAsia"/>
        </w:rPr>
        <w:t>GB/T 35230-2017</w:t>
      </w:r>
      <w:r w:rsidRPr="00002E84">
        <w:rPr>
          <w:rFonts w:hint="eastAsia"/>
        </w:rPr>
        <w:t>）、《土壤水分（墒情）监测仪器基本技术条件》（</w:t>
      </w:r>
      <w:r w:rsidRPr="00002E84">
        <w:rPr>
          <w:rFonts w:hint="eastAsia"/>
        </w:rPr>
        <w:t>GB/T 28418-2012</w:t>
      </w:r>
      <w:r w:rsidRPr="00002E84">
        <w:rPr>
          <w:rFonts w:hint="eastAsia"/>
        </w:rPr>
        <w:t>）、《土壤水分观测</w:t>
      </w:r>
      <w:r w:rsidRPr="00002E84">
        <w:rPr>
          <w:rFonts w:hint="eastAsia"/>
        </w:rPr>
        <w:t xml:space="preserve"> </w:t>
      </w:r>
      <w:r w:rsidRPr="00002E84">
        <w:rPr>
          <w:rFonts w:hint="eastAsia"/>
        </w:rPr>
        <w:t>频域反射法》（</w:t>
      </w:r>
      <w:r w:rsidRPr="00002E84">
        <w:rPr>
          <w:rFonts w:hint="eastAsia"/>
        </w:rPr>
        <w:t>GB/T 33705-2017</w:t>
      </w:r>
      <w:r w:rsidRPr="00002E84">
        <w:rPr>
          <w:rFonts w:hint="eastAsia"/>
        </w:rPr>
        <w:t>）、《水利水文自动化系统设备检验测试通用技术规范》（</w:t>
      </w:r>
      <w:r w:rsidRPr="00002E84">
        <w:rPr>
          <w:rFonts w:hint="eastAsia"/>
        </w:rPr>
        <w:t>GB/T 20204</w:t>
      </w:r>
      <w:r w:rsidRPr="00002E84">
        <w:rPr>
          <w:rFonts w:hint="eastAsia"/>
        </w:rPr>
        <w:t>）、《水文自动测报系统设备通用技术条件》（</w:t>
      </w:r>
      <w:r w:rsidRPr="00002E84">
        <w:rPr>
          <w:rFonts w:hint="eastAsia"/>
        </w:rPr>
        <w:t>GB/T 27994</w:t>
      </w:r>
      <w:r w:rsidRPr="00002E84">
        <w:rPr>
          <w:rFonts w:hint="eastAsia"/>
        </w:rPr>
        <w:t>）、《水文仪器通则　第</w:t>
      </w:r>
      <w:r w:rsidRPr="00002E84">
        <w:rPr>
          <w:rFonts w:hint="eastAsia"/>
        </w:rPr>
        <w:t>5</w:t>
      </w:r>
      <w:r w:rsidRPr="00002E84">
        <w:rPr>
          <w:rFonts w:hint="eastAsia"/>
        </w:rPr>
        <w:t>部分：工作条件影响及试验方法》（</w:t>
      </w:r>
      <w:r w:rsidRPr="00002E84">
        <w:rPr>
          <w:rFonts w:hint="eastAsia"/>
        </w:rPr>
        <w:t>GB/T 18522.5</w:t>
      </w:r>
      <w:r w:rsidRPr="00002E84">
        <w:rPr>
          <w:rFonts w:hint="eastAsia"/>
        </w:rPr>
        <w:t>）、《良好农业规范　第</w:t>
      </w:r>
      <w:r w:rsidRPr="00002E84">
        <w:rPr>
          <w:rFonts w:hint="eastAsia"/>
        </w:rPr>
        <w:t>4</w:t>
      </w:r>
      <w:r w:rsidRPr="00002E84">
        <w:rPr>
          <w:rFonts w:hint="eastAsia"/>
        </w:rPr>
        <w:t>部分：大田作物控制点与符合性规范》（</w:t>
      </w:r>
      <w:r w:rsidRPr="00002E84">
        <w:rPr>
          <w:rFonts w:hint="eastAsia"/>
        </w:rPr>
        <w:t>GB/T 20014.4</w:t>
      </w:r>
      <w:r w:rsidRPr="00002E84">
        <w:rPr>
          <w:rFonts w:hint="eastAsia"/>
        </w:rPr>
        <w:t>）、《地下水监测规范》（</w:t>
      </w:r>
      <w:r w:rsidRPr="00002E84">
        <w:rPr>
          <w:rFonts w:hint="eastAsia"/>
        </w:rPr>
        <w:t>SL 183-2019</w:t>
      </w:r>
      <w:r w:rsidRPr="00002E84">
        <w:rPr>
          <w:rFonts w:hint="eastAsia"/>
        </w:rPr>
        <w:t>）、《径流实验观测规范》（</w:t>
      </w:r>
      <w:r w:rsidRPr="00002E84">
        <w:rPr>
          <w:rFonts w:hint="eastAsia"/>
        </w:rPr>
        <w:t>SL 759-2018</w:t>
      </w:r>
      <w:r w:rsidRPr="00002E84">
        <w:rPr>
          <w:rFonts w:hint="eastAsia"/>
        </w:rPr>
        <w:t>）、《降水量观测规范》（</w:t>
      </w:r>
      <w:r w:rsidRPr="00002E84">
        <w:rPr>
          <w:rFonts w:hint="eastAsia"/>
        </w:rPr>
        <w:t>SL 21-2015</w:t>
      </w:r>
      <w:r w:rsidRPr="00002E84">
        <w:rPr>
          <w:rFonts w:hint="eastAsia"/>
        </w:rPr>
        <w:t>）、《土壤墒情监测规范》（</w:t>
      </w:r>
      <w:r w:rsidRPr="00002E84">
        <w:rPr>
          <w:rFonts w:hint="eastAsia"/>
        </w:rPr>
        <w:t>SL 364-2015</w:t>
      </w:r>
      <w:r w:rsidRPr="00002E84">
        <w:rPr>
          <w:rFonts w:hint="eastAsia"/>
        </w:rPr>
        <w:t>）、《水面蒸发观测规范》（</w:t>
      </w:r>
      <w:r w:rsidRPr="00002E84">
        <w:rPr>
          <w:rFonts w:hint="eastAsia"/>
        </w:rPr>
        <w:t>SL 630-2013</w:t>
      </w:r>
      <w:r w:rsidRPr="00002E84">
        <w:rPr>
          <w:rFonts w:hint="eastAsia"/>
        </w:rPr>
        <w:t>）、《称重式降水测量仪》（</w:t>
      </w:r>
      <w:r w:rsidRPr="00002E84">
        <w:rPr>
          <w:rFonts w:hint="eastAsia"/>
        </w:rPr>
        <w:t>QX/T 320- 2016</w:t>
      </w:r>
      <w:r w:rsidRPr="00002E84">
        <w:rPr>
          <w:rFonts w:hint="eastAsia"/>
        </w:rPr>
        <w:t>）等，本标准的观测内容、资料整编等以上述标准作为主要技术依据和参考。本标准与相关的国家、行业以及水利团体标准内容协调一致、互为联系，不存在矛盾和不一致。</w:t>
      </w:r>
    </w:p>
    <w:p w:rsidR="00986629" w:rsidRDefault="00986629" w:rsidP="00002E84">
      <w:pPr>
        <w:pStyle w:val="a0"/>
      </w:pPr>
    </w:p>
    <w:p w:rsidR="00986629" w:rsidRPr="00002E84" w:rsidRDefault="00986629" w:rsidP="00002E84">
      <w:pPr>
        <w:pStyle w:val="a0"/>
        <w:rPr>
          <w:rFonts w:hint="eastAsia"/>
        </w:rPr>
      </w:pPr>
      <w:bookmarkStart w:id="0" w:name="_GoBack"/>
      <w:bookmarkEnd w:id="0"/>
    </w:p>
    <w:p w:rsidR="0081481C" w:rsidRDefault="0081481C" w:rsidP="008072A6">
      <w:pPr>
        <w:spacing w:line="240" w:lineRule="auto"/>
        <w:rPr>
          <w:rFonts w:eastAsia="黑体"/>
        </w:rPr>
      </w:pPr>
      <w:r w:rsidRPr="008072A6">
        <w:rPr>
          <w:rFonts w:eastAsia="黑体" w:hint="eastAsia"/>
        </w:rPr>
        <w:lastRenderedPageBreak/>
        <w:t>五、重大分歧或重难点的处理经过和依据</w:t>
      </w:r>
    </w:p>
    <w:p w:rsidR="00EA7ABE" w:rsidRPr="00EA7ABE" w:rsidRDefault="00C44C27" w:rsidP="00EA7ABE">
      <w:pPr>
        <w:pStyle w:val="a0"/>
      </w:pPr>
      <w:r>
        <w:rPr>
          <w:rFonts w:hint="eastAsia"/>
        </w:rPr>
        <w:t>无</w:t>
      </w:r>
    </w:p>
    <w:p w:rsidR="0081481C" w:rsidRPr="008072A6" w:rsidRDefault="0081481C" w:rsidP="008072A6">
      <w:pPr>
        <w:spacing w:line="240" w:lineRule="auto"/>
        <w:rPr>
          <w:rFonts w:eastAsia="黑体"/>
        </w:rPr>
      </w:pPr>
      <w:r w:rsidRPr="008072A6">
        <w:rPr>
          <w:rFonts w:eastAsia="黑体" w:hint="eastAsia"/>
        </w:rPr>
        <w:t>六、预期效益（报批阶段填写）</w:t>
      </w:r>
    </w:p>
    <w:p w:rsidR="0081481C" w:rsidRPr="0081481C" w:rsidRDefault="0081481C" w:rsidP="0066467A">
      <w:pPr>
        <w:rPr>
          <w:rFonts w:ascii="宋体" w:hAnsi="Courier New"/>
        </w:rPr>
      </w:pPr>
      <w:r w:rsidRPr="0081481C">
        <w:rPr>
          <w:rFonts w:hint="eastAsia"/>
        </w:rPr>
        <w:t>包括预期的经济效益、社会效益和生态环境效益。</w:t>
      </w:r>
    </w:p>
    <w:p w:rsidR="0081481C" w:rsidRPr="008072A6" w:rsidRDefault="0081481C" w:rsidP="008072A6">
      <w:pPr>
        <w:spacing w:line="240" w:lineRule="auto"/>
        <w:rPr>
          <w:rFonts w:eastAsia="黑体"/>
        </w:rPr>
      </w:pPr>
      <w:r w:rsidRPr="008072A6">
        <w:rPr>
          <w:rFonts w:eastAsia="黑体" w:hint="eastAsia"/>
        </w:rPr>
        <w:t>七、其他说明事项</w:t>
      </w:r>
    </w:p>
    <w:p w:rsidR="0054147B" w:rsidRPr="0081481C" w:rsidRDefault="00E64477" w:rsidP="0066467A">
      <w:r>
        <w:rPr>
          <w:rFonts w:hint="eastAsia"/>
        </w:rPr>
        <w:t>无</w:t>
      </w:r>
    </w:p>
    <w:sectPr w:rsidR="0054147B" w:rsidRPr="0081481C" w:rsidSect="00FC77FD">
      <w:footerReference w:type="defaul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09B" w:rsidRDefault="0067009B" w:rsidP="0066467A">
      <w:r>
        <w:separator/>
      </w:r>
    </w:p>
  </w:endnote>
  <w:endnote w:type="continuationSeparator" w:id="0">
    <w:p w:rsidR="0067009B" w:rsidRDefault="0067009B" w:rsidP="00664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FD" w:rsidRDefault="00FC77FD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FD" w:rsidRDefault="00FC77FD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FD" w:rsidRDefault="00FC77FD">
    <w:pPr>
      <w:pStyle w:val="a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3748848"/>
      <w:docPartObj>
        <w:docPartGallery w:val="Page Numbers (Bottom of Page)"/>
        <w:docPartUnique/>
      </w:docPartObj>
    </w:sdtPr>
    <w:sdtEndPr/>
    <w:sdtContent>
      <w:p w:rsidR="00FC77FD" w:rsidRDefault="00FC77FD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629" w:rsidRPr="00986629">
          <w:rPr>
            <w:noProof/>
            <w:lang w:val="zh-CN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09B" w:rsidRDefault="0067009B" w:rsidP="0066467A">
      <w:r>
        <w:separator/>
      </w:r>
    </w:p>
  </w:footnote>
  <w:footnote w:type="continuationSeparator" w:id="0">
    <w:p w:rsidR="0067009B" w:rsidRDefault="0067009B" w:rsidP="00664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FD" w:rsidRDefault="00FC77FD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FD" w:rsidRDefault="00FC77FD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FD" w:rsidRDefault="00FC77FD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1BA"/>
    <w:rsid w:val="00002E84"/>
    <w:rsid w:val="00036E0F"/>
    <w:rsid w:val="00053D0B"/>
    <w:rsid w:val="000637AF"/>
    <w:rsid w:val="00070286"/>
    <w:rsid w:val="00087042"/>
    <w:rsid w:val="000B1D2A"/>
    <w:rsid w:val="00142A3A"/>
    <w:rsid w:val="00146098"/>
    <w:rsid w:val="00186D86"/>
    <w:rsid w:val="001C01B6"/>
    <w:rsid w:val="00233EE4"/>
    <w:rsid w:val="00253F80"/>
    <w:rsid w:val="00260285"/>
    <w:rsid w:val="002A6BE6"/>
    <w:rsid w:val="002D09B8"/>
    <w:rsid w:val="002D2CCD"/>
    <w:rsid w:val="002D5673"/>
    <w:rsid w:val="00330BE7"/>
    <w:rsid w:val="003640FB"/>
    <w:rsid w:val="0038011A"/>
    <w:rsid w:val="003C70C9"/>
    <w:rsid w:val="003D28EA"/>
    <w:rsid w:val="003F0703"/>
    <w:rsid w:val="004019F2"/>
    <w:rsid w:val="00401DCC"/>
    <w:rsid w:val="00480CBF"/>
    <w:rsid w:val="00494200"/>
    <w:rsid w:val="0054147B"/>
    <w:rsid w:val="00562795"/>
    <w:rsid w:val="005D3E5B"/>
    <w:rsid w:val="005F78EC"/>
    <w:rsid w:val="00613ADB"/>
    <w:rsid w:val="006316E0"/>
    <w:rsid w:val="0066467A"/>
    <w:rsid w:val="0067009B"/>
    <w:rsid w:val="00686174"/>
    <w:rsid w:val="006F4DC9"/>
    <w:rsid w:val="00713861"/>
    <w:rsid w:val="00760813"/>
    <w:rsid w:val="00790935"/>
    <w:rsid w:val="007D06D3"/>
    <w:rsid w:val="008072A6"/>
    <w:rsid w:val="0081481C"/>
    <w:rsid w:val="00863FE0"/>
    <w:rsid w:val="0088358A"/>
    <w:rsid w:val="008964C5"/>
    <w:rsid w:val="008A4E52"/>
    <w:rsid w:val="008B0D66"/>
    <w:rsid w:val="009320D1"/>
    <w:rsid w:val="00952F1B"/>
    <w:rsid w:val="00986629"/>
    <w:rsid w:val="009D50D6"/>
    <w:rsid w:val="009D7122"/>
    <w:rsid w:val="009E1301"/>
    <w:rsid w:val="00A51B58"/>
    <w:rsid w:val="00A66F32"/>
    <w:rsid w:val="00A82634"/>
    <w:rsid w:val="00AC1574"/>
    <w:rsid w:val="00AD1360"/>
    <w:rsid w:val="00AD7336"/>
    <w:rsid w:val="00B251BA"/>
    <w:rsid w:val="00B331EB"/>
    <w:rsid w:val="00B524FB"/>
    <w:rsid w:val="00B651FC"/>
    <w:rsid w:val="00B8408F"/>
    <w:rsid w:val="00B93E9C"/>
    <w:rsid w:val="00BE46C6"/>
    <w:rsid w:val="00BF1F1F"/>
    <w:rsid w:val="00C44C27"/>
    <w:rsid w:val="00C5077D"/>
    <w:rsid w:val="00C93A3D"/>
    <w:rsid w:val="00CE3DCB"/>
    <w:rsid w:val="00D0365F"/>
    <w:rsid w:val="00D768C3"/>
    <w:rsid w:val="00D92695"/>
    <w:rsid w:val="00D92755"/>
    <w:rsid w:val="00DA2FE1"/>
    <w:rsid w:val="00E64477"/>
    <w:rsid w:val="00E76B55"/>
    <w:rsid w:val="00EA7ABE"/>
    <w:rsid w:val="00EC4512"/>
    <w:rsid w:val="00EE67F8"/>
    <w:rsid w:val="00F051FA"/>
    <w:rsid w:val="00F07391"/>
    <w:rsid w:val="00F11D4F"/>
    <w:rsid w:val="00F50ABE"/>
    <w:rsid w:val="00F96852"/>
    <w:rsid w:val="00FC77FD"/>
    <w:rsid w:val="00FF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E5B0B4-D4CF-44F1-901F-310AF322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66467A"/>
    <w:pPr>
      <w:widowControl w:val="0"/>
      <w:spacing w:line="360" w:lineRule="auto"/>
      <w:ind w:firstLineChars="200" w:firstLine="560"/>
      <w:jc w:val="both"/>
    </w:pPr>
    <w:rPr>
      <w:rFonts w:ascii="Times New Roman" w:eastAsia="仿宋_GB2312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link w:val="Char"/>
    <w:qFormat/>
    <w:rsid w:val="00B251BA"/>
    <w:rPr>
      <w:rFonts w:ascii="宋体" w:hAnsi="Courier New"/>
    </w:rPr>
  </w:style>
  <w:style w:type="character" w:customStyle="1" w:styleId="Char">
    <w:name w:val="纯文本 Char"/>
    <w:basedOn w:val="a1"/>
    <w:link w:val="a0"/>
    <w:rsid w:val="00B251BA"/>
    <w:rPr>
      <w:rFonts w:ascii="宋体" w:eastAsia="宋体" w:hAnsi="Courier New" w:cs="黑体"/>
    </w:rPr>
  </w:style>
  <w:style w:type="paragraph" w:styleId="a4">
    <w:name w:val="header"/>
    <w:basedOn w:val="a"/>
    <w:link w:val="Char0"/>
    <w:uiPriority w:val="99"/>
    <w:unhideWhenUsed/>
    <w:rsid w:val="00FC77F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FC77FD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96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8964C5"/>
    <w:rPr>
      <w:rFonts w:ascii="Times New Roman" w:eastAsia="宋体" w:hAnsi="Times New Roman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0A2FA-81D0-487F-BD20-5F8A6FF77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7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叶茂</dc:creator>
  <cp:keywords/>
  <dc:description/>
  <cp:lastModifiedBy>lenovo</cp:lastModifiedBy>
  <cp:revision>77</cp:revision>
  <dcterms:created xsi:type="dcterms:W3CDTF">2020-08-14T01:57:00Z</dcterms:created>
  <dcterms:modified xsi:type="dcterms:W3CDTF">2021-03-22T01:11:00Z</dcterms:modified>
</cp:coreProperties>
</file>