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《寒旱区湖泊水资源保护技术指南》（征求意见稿）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水利部水资源管理司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水利部牧区水利科学研究所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中国科学院新疆生态与地理研究所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中国科学院寒区旱区环境与工程研究所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黄河水资源保护科学研究院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郑州大学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内蒙古大学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新疆农业大学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南京水科院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361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黄河水利科学研究院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长江科学院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珠委珠科院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水资源管理中心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36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eastAsia="zh-CN"/>
              </w:rPr>
              <w:t>水规总院</w:t>
            </w:r>
          </w:p>
        </w:tc>
      </w:tr>
    </w:tbl>
    <w:p>
      <w:pPr>
        <w:numPr>
          <w:ilvl w:val="0"/>
          <w:numId w:val="0"/>
        </w:numPr>
        <w:jc w:val="both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2"/>
        <w:rPr>
          <w:rFonts w:ascii="仿宋_GB2312" w:hAnsi="宋体" w:eastAsia="仿宋_GB2312"/>
          <w:b/>
          <w:bCs/>
          <w:sz w:val="32"/>
          <w:szCs w:val="32"/>
        </w:rPr>
      </w:pPr>
    </w:p>
    <w:p/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中国水利学会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吴伯健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水利部国际经济技术合作交流中心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石秋池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陈敏建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水利部牧区水利科学研究所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fldChar w:fldCharType="begin"/>
            </w:r>
            <w:r>
              <w:instrText xml:space="preserve"> HYPERLINK "http://www.iwhr.com/zgskywwnew/skzj/kjyc/test365" </w:instrText>
            </w:r>
            <w:r>
              <w:fldChar w:fldCharType="separate"/>
            </w:r>
            <w:r>
              <w:rPr>
                <w:rFonts w:eastAsia="仿宋_GB2312"/>
                <w:kern w:val="0"/>
                <w:sz w:val="32"/>
                <w:szCs w:val="32"/>
              </w:rPr>
              <w:t>何京丽</w:t>
            </w:r>
            <w:r>
              <w:rPr>
                <w:rFonts w:eastAsia="仿宋_GB2312"/>
                <w:kern w:val="0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中国农业大学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李云开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北京师范大学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王国强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郑州大学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fldChar w:fldCharType="begin"/>
            </w:r>
            <w:r>
              <w:instrText xml:space="preserve"> HYPERLINK "http://www.baidu.com/link?url=hH_f7NOxlZWaWP0VBOi-BI9hoy1Wul8YP5BmlTAz5kt0D6MyCBLm8rvyuGciDeYFvjn6Ibp7SdTEYMjZ7zvvFUdHgdNt6qKN2lc2qWMDJsq" \t "_blank" </w:instrText>
            </w:r>
            <w:r>
              <w:fldChar w:fldCharType="separate"/>
            </w:r>
            <w:r>
              <w:rPr>
                <w:rFonts w:eastAsia="仿宋_GB2312"/>
                <w:kern w:val="0"/>
                <w:sz w:val="32"/>
                <w:szCs w:val="32"/>
              </w:rPr>
              <w:t>左其亭</w:t>
            </w:r>
            <w:r>
              <w:rPr>
                <w:rFonts w:eastAsia="仿宋_GB2312"/>
                <w:kern w:val="0"/>
                <w:sz w:val="32"/>
                <w:szCs w:val="3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内蒙古大学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吕昌伟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水规总院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汪党献</w:t>
            </w:r>
            <w:bookmarkStart w:id="0" w:name="_GoBack"/>
            <w:bookmarkEnd w:id="0"/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433DE"/>
    <w:rsid w:val="00095032"/>
    <w:rsid w:val="00171ADE"/>
    <w:rsid w:val="00226153"/>
    <w:rsid w:val="00283043"/>
    <w:rsid w:val="004261D5"/>
    <w:rsid w:val="004B45E0"/>
    <w:rsid w:val="005C4771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2</Pages>
  <Words>327</Words>
  <Characters>334</Characters>
  <Lines>2</Lines>
  <Paragraphs>1</Paragraphs>
  <TotalTime>3</TotalTime>
  <ScaleCrop>false</ScaleCrop>
  <LinksUpToDate>false</LinksUpToDate>
  <CharactersWithSpaces>334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2022-04-02T01:48:00Z</cp:lastPrinted>
  <dcterms:modified xsi:type="dcterms:W3CDTF">2022-04-24T06:58:38Z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BF2980CE2F964D728BC60F82EE9C8C6C</vt:lpwstr>
  </property>
  <property fmtid="{D5CDD505-2E9C-101B-9397-08002B2CF9AE}" pid="4" name="commondata">
    <vt:lpwstr>eyJoZGlkIjoiMWMxOTQ2ZTM5ODYyZDI1NWZmODlhMjVjZTJjYjg0ZTkifQ==</vt:lpwstr>
  </property>
</Properties>
</file>