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left"/>
        <w:rPr>
          <w:rFonts w:ascii="仿宋_GB2312" w:hAnsi="仿宋_GB2312" w:eastAsia="仿宋_GB2312" w:cs="仿宋_GB2312"/>
          <w:kern w:val="0"/>
          <w:sz w:val="32"/>
          <w:szCs w:val="32"/>
        </w:rPr>
      </w:pPr>
      <w:bookmarkStart w:id="0" w:name="_GoBack"/>
      <w:bookmarkEnd w:id="0"/>
      <w:r>
        <w:rPr>
          <w:rFonts w:hint="eastAsia" w:ascii="仿宋_GB2312" w:hAnsi="仿宋_GB2312" w:eastAsia="仿宋_GB2312" w:cs="仿宋_GB2312"/>
          <w:kern w:val="0"/>
          <w:sz w:val="32"/>
          <w:szCs w:val="32"/>
        </w:rPr>
        <w:t>附件：</w:t>
      </w:r>
    </w:p>
    <w:p>
      <w:pPr>
        <w:spacing w:line="500" w:lineRule="exact"/>
        <w:ind w:left="1600" w:hanging="1600" w:hangingChars="5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成果名称：</w:t>
      </w:r>
      <w:r>
        <w:rPr>
          <w:rFonts w:hint="eastAsia" w:ascii="仿宋_GB2312" w:hAnsi="仿宋_GB2312" w:eastAsia="仿宋_GB2312" w:cs="仿宋_GB2312"/>
          <w:sz w:val="32"/>
          <w:szCs w:val="32"/>
        </w:rPr>
        <w:t xml:space="preserve">堰塞湖应急处置与开发利用关键技术 </w:t>
      </w:r>
    </w:p>
    <w:p>
      <w:pPr>
        <w:spacing w:line="500" w:lineRule="exact"/>
        <w:ind w:left="1600" w:right="-197" w:rightChars="-94" w:hanging="1600" w:hangingChars="5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完成单位：水利部长江水利委员会、中国电力建设集团有限公司、水利部交通运输部国家能源局南京水利科学研究院、中国水利水电科学研究院、长江勘测规划设计研究有限责任公司、清华大学、河海大学、水利部水利水电规划设计总院、中国水电基础局有限公司、云南省建设投资控股集团有限公司</w:t>
      </w:r>
    </w:p>
    <w:p>
      <w:pPr>
        <w:spacing w:line="500" w:lineRule="exact"/>
        <w:ind w:left="1606" w:hanging="1606" w:hangingChars="500"/>
        <w:jc w:val="center"/>
        <w:rPr>
          <w:rFonts w:ascii="仿宋_GB2312" w:hAnsi="仿宋_GB2312" w:eastAsia="仿宋_GB2312" w:cs="仿宋_GB2312"/>
          <w:kern w:val="0"/>
          <w:sz w:val="32"/>
          <w:szCs w:val="32"/>
        </w:rPr>
      </w:pPr>
      <w:r>
        <w:rPr>
          <w:rFonts w:hint="eastAsia" w:cs="仿宋_GB2312" w:asciiTheme="majorEastAsia" w:hAnsiTheme="majorEastAsia" w:eastAsiaTheme="majorEastAsia"/>
          <w:b/>
          <w:sz w:val="32"/>
          <w:szCs w:val="32"/>
        </w:rPr>
        <w:t>主要研制人员名单</w:t>
      </w:r>
    </w:p>
    <w:tbl>
      <w:tblPr>
        <w:tblStyle w:val="6"/>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920"/>
        <w:gridCol w:w="1024"/>
        <w:gridCol w:w="1669"/>
        <w:gridCol w:w="4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17" w:type="dxa"/>
            <w:vAlign w:val="center"/>
          </w:tcPr>
          <w:p>
            <w:pPr>
              <w:jc w:val="center"/>
              <w:rPr>
                <w:rFonts w:ascii="Times New Roman" w:hAnsi="Times New Roman" w:cs="Times New Roman"/>
                <w:b/>
                <w:bCs/>
                <w:sz w:val="24"/>
              </w:rPr>
            </w:pPr>
            <w:r>
              <w:rPr>
                <w:rFonts w:ascii="Times New Roman" w:hAnsi="Times New Roman" w:cs="Times New Roman"/>
                <w:b/>
                <w:bCs/>
                <w:sz w:val="24"/>
              </w:rPr>
              <w:t>序号</w:t>
            </w:r>
          </w:p>
        </w:tc>
        <w:tc>
          <w:tcPr>
            <w:tcW w:w="920" w:type="dxa"/>
            <w:vAlign w:val="center"/>
          </w:tcPr>
          <w:p>
            <w:pPr>
              <w:jc w:val="center"/>
              <w:rPr>
                <w:rFonts w:ascii="Times New Roman" w:hAnsi="Times New Roman" w:cs="Times New Roman"/>
                <w:b/>
                <w:bCs/>
                <w:sz w:val="24"/>
              </w:rPr>
            </w:pPr>
            <w:r>
              <w:rPr>
                <w:rFonts w:ascii="Times New Roman" w:hAnsi="Times New Roman" w:cs="Times New Roman"/>
                <w:b/>
                <w:bCs/>
                <w:sz w:val="24"/>
              </w:rPr>
              <w:t>姓名</w:t>
            </w:r>
          </w:p>
        </w:tc>
        <w:tc>
          <w:tcPr>
            <w:tcW w:w="1024" w:type="dxa"/>
            <w:vAlign w:val="center"/>
          </w:tcPr>
          <w:p>
            <w:pPr>
              <w:jc w:val="center"/>
              <w:rPr>
                <w:rFonts w:ascii="Times New Roman" w:hAnsi="Times New Roman" w:cs="Times New Roman"/>
                <w:b/>
                <w:bCs/>
                <w:sz w:val="24"/>
              </w:rPr>
            </w:pPr>
            <w:r>
              <w:rPr>
                <w:rFonts w:ascii="Times New Roman" w:hAnsi="Times New Roman" w:cs="Times New Roman"/>
                <w:b/>
                <w:bCs/>
                <w:sz w:val="24"/>
              </w:rPr>
              <w:t>技术</w:t>
            </w:r>
          </w:p>
          <w:p>
            <w:pPr>
              <w:jc w:val="center"/>
              <w:rPr>
                <w:rFonts w:ascii="Times New Roman" w:hAnsi="Times New Roman" w:cs="Times New Roman"/>
                <w:b/>
                <w:bCs/>
                <w:sz w:val="24"/>
              </w:rPr>
            </w:pPr>
            <w:r>
              <w:rPr>
                <w:rFonts w:ascii="Times New Roman" w:hAnsi="Times New Roman" w:cs="Times New Roman"/>
                <w:b/>
                <w:bCs/>
                <w:sz w:val="24"/>
              </w:rPr>
              <w:t>职称</w:t>
            </w:r>
          </w:p>
        </w:tc>
        <w:tc>
          <w:tcPr>
            <w:tcW w:w="1669" w:type="dxa"/>
            <w:vAlign w:val="center"/>
          </w:tcPr>
          <w:p>
            <w:pPr>
              <w:jc w:val="center"/>
              <w:rPr>
                <w:rFonts w:ascii="Times New Roman" w:hAnsi="Times New Roman" w:cs="Times New Roman"/>
                <w:b/>
                <w:bCs/>
                <w:sz w:val="24"/>
              </w:rPr>
            </w:pPr>
            <w:r>
              <w:rPr>
                <w:rFonts w:ascii="Times New Roman" w:hAnsi="Times New Roman" w:cs="Times New Roman"/>
                <w:b/>
                <w:bCs/>
                <w:sz w:val="24"/>
              </w:rPr>
              <w:t>工作单位</w:t>
            </w:r>
          </w:p>
        </w:tc>
        <w:tc>
          <w:tcPr>
            <w:tcW w:w="4697" w:type="dxa"/>
            <w:vAlign w:val="center"/>
          </w:tcPr>
          <w:p>
            <w:pPr>
              <w:jc w:val="center"/>
              <w:rPr>
                <w:rFonts w:ascii="Times New Roman" w:hAnsi="Times New Roman" w:cs="Times New Roman"/>
                <w:b/>
                <w:bCs/>
                <w:sz w:val="24"/>
              </w:rPr>
            </w:pPr>
            <w:r>
              <w:rPr>
                <w:rFonts w:ascii="Times New Roman" w:hAnsi="Times New Roman" w:cs="Times New Roman"/>
                <w:b/>
                <w:bCs/>
                <w:sz w:val="24"/>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bCs/>
                <w:sz w:val="24"/>
              </w:rPr>
            </w:pPr>
            <w:r>
              <w:rPr>
                <w:rFonts w:ascii="Times New Roman" w:hAnsi="Times New Roman"/>
                <w:bCs/>
                <w:sz w:val="24"/>
              </w:rPr>
              <w:t>1</w:t>
            </w:r>
          </w:p>
        </w:tc>
        <w:tc>
          <w:tcPr>
            <w:tcW w:w="920" w:type="dxa"/>
            <w:vAlign w:val="center"/>
          </w:tcPr>
          <w:p>
            <w:pPr>
              <w:spacing w:line="240" w:lineRule="atLeast"/>
              <w:jc w:val="center"/>
              <w:rPr>
                <w:szCs w:val="24"/>
              </w:rPr>
            </w:pPr>
            <w:r>
              <w:rPr>
                <w:rFonts w:hint="eastAsia" w:ascii="Times New Roman" w:hAnsi="Times New Roman"/>
                <w:szCs w:val="24"/>
              </w:rPr>
              <w:t>张宗亮</w:t>
            </w:r>
          </w:p>
        </w:tc>
        <w:tc>
          <w:tcPr>
            <w:tcW w:w="1024" w:type="dxa"/>
            <w:vAlign w:val="center"/>
          </w:tcPr>
          <w:p>
            <w:pPr>
              <w:spacing w:line="240" w:lineRule="atLeast"/>
              <w:jc w:val="center"/>
              <w:rPr>
                <w:szCs w:val="24"/>
              </w:rPr>
            </w:pPr>
            <w:r>
              <w:rPr>
                <w:rFonts w:hint="eastAsia" w:ascii="Times New Roman" w:hAnsi="Times New Roman"/>
                <w:szCs w:val="24"/>
              </w:rPr>
              <w:t>正高</w:t>
            </w:r>
          </w:p>
        </w:tc>
        <w:tc>
          <w:tcPr>
            <w:tcW w:w="1669" w:type="dxa"/>
            <w:vAlign w:val="center"/>
          </w:tcPr>
          <w:p>
            <w:pPr>
              <w:spacing w:line="240" w:lineRule="atLeast"/>
              <w:jc w:val="center"/>
              <w:rPr>
                <w:szCs w:val="24"/>
              </w:rPr>
            </w:pPr>
            <w:r>
              <w:rPr>
                <w:rFonts w:hint="eastAsia" w:ascii="Times New Roman" w:hAnsi="Times New Roman"/>
                <w:szCs w:val="24"/>
              </w:rPr>
              <w:t>中国电力建设集团有限公司</w:t>
            </w:r>
          </w:p>
        </w:tc>
        <w:tc>
          <w:tcPr>
            <w:tcW w:w="4697" w:type="dxa"/>
            <w:vAlign w:val="center"/>
          </w:tcPr>
          <w:p>
            <w:pPr>
              <w:spacing w:line="240" w:lineRule="atLeast"/>
              <w:rPr>
                <w:szCs w:val="24"/>
              </w:rPr>
            </w:pPr>
            <w:r>
              <w:rPr>
                <w:rFonts w:ascii="Times New Roman" w:hAnsi="Times New Roman"/>
                <w:szCs w:val="24"/>
              </w:rPr>
              <w:t>本成果的</w:t>
            </w:r>
            <w:r>
              <w:rPr>
                <w:rFonts w:hint="eastAsia" w:ascii="Times New Roman" w:hAnsi="Times New Roman"/>
                <w:szCs w:val="24"/>
              </w:rPr>
              <w:t>总体</w:t>
            </w:r>
            <w:r>
              <w:rPr>
                <w:rFonts w:ascii="Times New Roman" w:hAnsi="Times New Roman"/>
                <w:szCs w:val="24"/>
              </w:rPr>
              <w:t>负责人</w:t>
            </w:r>
            <w:r>
              <w:rPr>
                <w:rFonts w:hint="eastAsia" w:ascii="Times New Roman" w:hAnsi="Times New Roman"/>
                <w:szCs w:val="24"/>
              </w:rPr>
              <w:t>，国家重点研发计划“堰塞坝险情处置与开发利用保障技术与装备研发”项目负责人，红石岩堰塞湖应急抢险指挥部专家组组长、红石岩堰塞坝水利枢纽工程设计总工程师</w:t>
            </w:r>
            <w:r>
              <w:rPr>
                <w:rFonts w:ascii="Times New Roman" w:hAnsi="Times New Roman"/>
                <w:szCs w:val="24"/>
              </w:rPr>
              <w:t>，制定</w:t>
            </w:r>
            <w:r>
              <w:rPr>
                <w:rFonts w:hint="eastAsia" w:ascii="Times New Roman" w:hAnsi="Times New Roman"/>
                <w:szCs w:val="24"/>
              </w:rPr>
              <w:t>研究</w:t>
            </w:r>
            <w:r>
              <w:rPr>
                <w:rFonts w:ascii="Times New Roman" w:hAnsi="Times New Roman"/>
                <w:szCs w:val="24"/>
              </w:rPr>
              <w:t>方案，组织实施</w:t>
            </w:r>
            <w:r>
              <w:rPr>
                <w:rFonts w:hint="eastAsia" w:ascii="Times New Roman" w:hAnsi="Times New Roman"/>
                <w:szCs w:val="24"/>
              </w:rPr>
              <w:t>项目</w:t>
            </w:r>
            <w:r>
              <w:rPr>
                <w:rFonts w:ascii="Times New Roman" w:hAnsi="Times New Roman"/>
                <w:szCs w:val="24"/>
              </w:rPr>
              <w:t>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vAlign w:val="center"/>
          </w:tcPr>
          <w:p>
            <w:pPr>
              <w:jc w:val="center"/>
              <w:rPr>
                <w:bCs/>
                <w:sz w:val="24"/>
              </w:rPr>
            </w:pPr>
            <w:r>
              <w:rPr>
                <w:rFonts w:ascii="Times New Roman" w:hAnsi="Times New Roman"/>
                <w:bCs/>
                <w:sz w:val="24"/>
              </w:rPr>
              <w:t>2</w:t>
            </w:r>
          </w:p>
        </w:tc>
        <w:tc>
          <w:tcPr>
            <w:tcW w:w="920" w:type="dxa"/>
            <w:vAlign w:val="center"/>
          </w:tcPr>
          <w:p>
            <w:pPr>
              <w:spacing w:line="240" w:lineRule="atLeast"/>
              <w:jc w:val="center"/>
              <w:rPr>
                <w:szCs w:val="24"/>
              </w:rPr>
            </w:pPr>
            <w:r>
              <w:rPr>
                <w:rFonts w:hint="eastAsia" w:ascii="Times New Roman" w:hAnsi="Times New Roman"/>
                <w:szCs w:val="24"/>
              </w:rPr>
              <w:t>杨启贵</w:t>
            </w:r>
          </w:p>
        </w:tc>
        <w:tc>
          <w:tcPr>
            <w:tcW w:w="1024" w:type="dxa"/>
            <w:vAlign w:val="center"/>
          </w:tcPr>
          <w:p>
            <w:pPr>
              <w:spacing w:line="240" w:lineRule="atLeast"/>
              <w:jc w:val="center"/>
              <w:rPr>
                <w:szCs w:val="24"/>
              </w:rPr>
            </w:pPr>
            <w:r>
              <w:rPr>
                <w:rFonts w:hint="eastAsia" w:ascii="Times New Roman" w:hAnsi="Times New Roman"/>
                <w:szCs w:val="24"/>
              </w:rPr>
              <w:t>正高</w:t>
            </w:r>
          </w:p>
        </w:tc>
        <w:tc>
          <w:tcPr>
            <w:tcW w:w="1669" w:type="dxa"/>
            <w:vAlign w:val="center"/>
          </w:tcPr>
          <w:p>
            <w:pPr>
              <w:spacing w:line="240" w:lineRule="atLeast"/>
              <w:jc w:val="center"/>
              <w:rPr>
                <w:szCs w:val="24"/>
              </w:rPr>
            </w:pPr>
            <w:r>
              <w:rPr>
                <w:rFonts w:hint="eastAsia" w:ascii="Times New Roman" w:hAnsi="Times New Roman"/>
                <w:szCs w:val="24"/>
              </w:rPr>
              <w:t>长江勘测规划设计研究有限责任公司</w:t>
            </w:r>
          </w:p>
        </w:tc>
        <w:tc>
          <w:tcPr>
            <w:tcW w:w="4697" w:type="dxa"/>
            <w:vAlign w:val="center"/>
          </w:tcPr>
          <w:p>
            <w:pPr>
              <w:spacing w:line="240" w:lineRule="atLeast"/>
              <w:rPr>
                <w:szCs w:val="24"/>
              </w:rPr>
            </w:pPr>
            <w:r>
              <w:rPr>
                <w:rFonts w:ascii="Times New Roman" w:hAnsi="Times New Roman"/>
                <w:szCs w:val="24"/>
              </w:rPr>
              <w:t>本成果的</w:t>
            </w:r>
            <w:r>
              <w:rPr>
                <w:rFonts w:hint="eastAsia" w:ascii="Times New Roman" w:hAnsi="Times New Roman"/>
                <w:szCs w:val="24"/>
              </w:rPr>
              <w:t>技术</w:t>
            </w:r>
            <w:r>
              <w:rPr>
                <w:rFonts w:ascii="Times New Roman" w:hAnsi="Times New Roman"/>
                <w:szCs w:val="24"/>
              </w:rPr>
              <w:t>负责人</w:t>
            </w:r>
            <w:r>
              <w:rPr>
                <w:rFonts w:hint="eastAsia" w:ascii="Times New Roman" w:hAnsi="Times New Roman"/>
                <w:szCs w:val="24"/>
              </w:rPr>
              <w:t>，国家科技支撑计划“唐家山堰塞湖处置技术研究与系统性经验总结”课题负责人，唐家山、舟曲、金沙江白格等堰塞湖应急抢险技术</w:t>
            </w:r>
            <w:r>
              <w:rPr>
                <w:rFonts w:ascii="Times New Roman" w:hAnsi="Times New Roman"/>
                <w:szCs w:val="24"/>
              </w:rPr>
              <w:t>负责人</w:t>
            </w:r>
            <w:r>
              <w:rPr>
                <w:rFonts w:hint="eastAsia" w:ascii="Times New Roman" w:hAnsi="Times New Roman"/>
                <w:szCs w:val="24"/>
              </w:rPr>
              <w:t>，制定应急抢险技术方案，负责组织开展堰塞湖溃决机理、风险评估与应急处置技术研究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bCs/>
                <w:sz w:val="24"/>
              </w:rPr>
            </w:pPr>
            <w:r>
              <w:rPr>
                <w:rFonts w:ascii="Times New Roman" w:hAnsi="Times New Roman"/>
                <w:bCs/>
                <w:sz w:val="24"/>
              </w:rPr>
              <w:t>3</w:t>
            </w:r>
          </w:p>
        </w:tc>
        <w:tc>
          <w:tcPr>
            <w:tcW w:w="920" w:type="dxa"/>
            <w:vAlign w:val="center"/>
          </w:tcPr>
          <w:p>
            <w:pPr>
              <w:spacing w:line="240" w:lineRule="atLeast"/>
              <w:jc w:val="center"/>
              <w:rPr>
                <w:szCs w:val="24"/>
              </w:rPr>
            </w:pPr>
            <w:r>
              <w:rPr>
                <w:rFonts w:hint="eastAsia" w:ascii="Times New Roman" w:hAnsi="Times New Roman"/>
                <w:szCs w:val="24"/>
              </w:rPr>
              <w:t>蔡耀军</w:t>
            </w:r>
          </w:p>
        </w:tc>
        <w:tc>
          <w:tcPr>
            <w:tcW w:w="1024" w:type="dxa"/>
            <w:vAlign w:val="center"/>
          </w:tcPr>
          <w:p>
            <w:pPr>
              <w:spacing w:line="240" w:lineRule="atLeast"/>
              <w:jc w:val="center"/>
              <w:rPr>
                <w:szCs w:val="24"/>
              </w:rPr>
            </w:pPr>
            <w:r>
              <w:rPr>
                <w:rFonts w:hint="eastAsia" w:ascii="Times New Roman" w:hAnsi="Times New Roman"/>
                <w:szCs w:val="24"/>
              </w:rPr>
              <w:t>正高</w:t>
            </w:r>
          </w:p>
        </w:tc>
        <w:tc>
          <w:tcPr>
            <w:tcW w:w="1669" w:type="dxa"/>
            <w:vAlign w:val="center"/>
          </w:tcPr>
          <w:p>
            <w:pPr>
              <w:spacing w:line="240" w:lineRule="atLeast"/>
              <w:jc w:val="center"/>
              <w:rPr>
                <w:szCs w:val="24"/>
              </w:rPr>
            </w:pPr>
            <w:r>
              <w:rPr>
                <w:rFonts w:hint="eastAsia" w:ascii="Times New Roman" w:hAnsi="Times New Roman"/>
                <w:szCs w:val="24"/>
              </w:rPr>
              <w:t>长江勘测规划设计研究有限责任公司</w:t>
            </w:r>
          </w:p>
        </w:tc>
        <w:tc>
          <w:tcPr>
            <w:tcW w:w="4697" w:type="dxa"/>
            <w:vAlign w:val="center"/>
          </w:tcPr>
          <w:p>
            <w:pPr>
              <w:spacing w:line="240" w:lineRule="atLeast"/>
              <w:rPr>
                <w:szCs w:val="24"/>
              </w:rPr>
            </w:pPr>
            <w:r>
              <w:rPr>
                <w:rFonts w:hint="eastAsia" w:ascii="Times New Roman" w:hAnsi="Times New Roman"/>
                <w:szCs w:val="24"/>
              </w:rPr>
              <w:t>国家重点研发计划“堰塞湖风险评估快速检测与应急抢险技术和装备研发”项目负责人，金沙江白格堰塞湖应急处置国家防总专家组组长，负责堰塞湖溃决机理、风险评估与应急处置技术研究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bCs/>
                <w:sz w:val="24"/>
              </w:rPr>
            </w:pPr>
            <w:r>
              <w:rPr>
                <w:rFonts w:ascii="Times New Roman" w:hAnsi="Times New Roman"/>
                <w:bCs/>
                <w:sz w:val="24"/>
              </w:rPr>
              <w:t>4</w:t>
            </w:r>
          </w:p>
        </w:tc>
        <w:tc>
          <w:tcPr>
            <w:tcW w:w="920" w:type="dxa"/>
            <w:vAlign w:val="center"/>
          </w:tcPr>
          <w:p>
            <w:pPr>
              <w:spacing w:line="240" w:lineRule="atLeast"/>
              <w:jc w:val="center"/>
              <w:rPr>
                <w:szCs w:val="24"/>
              </w:rPr>
            </w:pPr>
            <w:r>
              <w:rPr>
                <w:rFonts w:hint="eastAsia" w:ascii="Times New Roman" w:hAnsi="Times New Roman"/>
                <w:szCs w:val="24"/>
              </w:rPr>
              <w:t>周兴波</w:t>
            </w:r>
          </w:p>
        </w:tc>
        <w:tc>
          <w:tcPr>
            <w:tcW w:w="1024" w:type="dxa"/>
            <w:vAlign w:val="center"/>
          </w:tcPr>
          <w:p>
            <w:pPr>
              <w:spacing w:line="240" w:lineRule="atLeast"/>
              <w:jc w:val="center"/>
              <w:rPr>
                <w:szCs w:val="24"/>
              </w:rPr>
            </w:pPr>
            <w:r>
              <w:rPr>
                <w:rFonts w:hint="eastAsia" w:ascii="Times New Roman" w:hAnsi="Times New Roman"/>
                <w:szCs w:val="24"/>
              </w:rPr>
              <w:t>副高</w:t>
            </w:r>
          </w:p>
        </w:tc>
        <w:tc>
          <w:tcPr>
            <w:tcW w:w="1669" w:type="dxa"/>
            <w:vAlign w:val="center"/>
          </w:tcPr>
          <w:p>
            <w:pPr>
              <w:spacing w:line="240" w:lineRule="atLeast"/>
              <w:jc w:val="center"/>
              <w:rPr>
                <w:szCs w:val="24"/>
              </w:rPr>
            </w:pPr>
            <w:r>
              <w:rPr>
                <w:rFonts w:hint="eastAsia" w:ascii="Times New Roman" w:hAnsi="Times New Roman"/>
                <w:szCs w:val="24"/>
              </w:rPr>
              <w:t>中国电力建设集团有限公司</w:t>
            </w:r>
          </w:p>
        </w:tc>
        <w:tc>
          <w:tcPr>
            <w:tcW w:w="4697" w:type="dxa"/>
            <w:vAlign w:val="center"/>
          </w:tcPr>
          <w:p>
            <w:pPr>
              <w:spacing w:line="240" w:lineRule="atLeast"/>
              <w:rPr>
                <w:szCs w:val="24"/>
              </w:rPr>
            </w:pPr>
            <w:r>
              <w:rPr>
                <w:rFonts w:hint="eastAsia" w:ascii="Times New Roman" w:hAnsi="Times New Roman"/>
                <w:szCs w:val="24"/>
              </w:rPr>
              <w:t>负责堰塞湖溃决机理研究，作为计算分析负责人参与红石岩、白格堰塞湖应急抢险风险分析，负责堰塞坝全生命期防灾减灾工程技术体系与流域安全绿色发展新模式研究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17" w:type="dxa"/>
            <w:vAlign w:val="center"/>
          </w:tcPr>
          <w:p>
            <w:pPr>
              <w:jc w:val="center"/>
              <w:rPr>
                <w:bCs/>
                <w:sz w:val="24"/>
              </w:rPr>
            </w:pPr>
            <w:r>
              <w:rPr>
                <w:rFonts w:hint="eastAsia" w:ascii="Times New Roman" w:hAnsi="Times New Roman"/>
                <w:bCs/>
                <w:sz w:val="24"/>
              </w:rPr>
              <w:t>5</w:t>
            </w:r>
          </w:p>
        </w:tc>
        <w:tc>
          <w:tcPr>
            <w:tcW w:w="920" w:type="dxa"/>
            <w:vAlign w:val="center"/>
          </w:tcPr>
          <w:p>
            <w:pPr>
              <w:spacing w:line="240" w:lineRule="atLeast"/>
              <w:jc w:val="center"/>
              <w:rPr>
                <w:szCs w:val="24"/>
              </w:rPr>
            </w:pPr>
            <w:r>
              <w:rPr>
                <w:rFonts w:hint="eastAsia" w:ascii="Times New Roman" w:hAnsi="Times New Roman"/>
                <w:szCs w:val="24"/>
              </w:rPr>
              <w:t>程海云</w:t>
            </w:r>
          </w:p>
        </w:tc>
        <w:tc>
          <w:tcPr>
            <w:tcW w:w="1024" w:type="dxa"/>
            <w:vAlign w:val="center"/>
          </w:tcPr>
          <w:p>
            <w:pPr>
              <w:spacing w:line="240" w:lineRule="atLeast"/>
              <w:jc w:val="center"/>
              <w:rPr>
                <w:szCs w:val="24"/>
              </w:rPr>
            </w:pPr>
            <w:r>
              <w:rPr>
                <w:rFonts w:hint="eastAsia" w:ascii="Times New Roman" w:hAnsi="Times New Roman"/>
                <w:szCs w:val="24"/>
              </w:rPr>
              <w:t>正高</w:t>
            </w:r>
          </w:p>
        </w:tc>
        <w:tc>
          <w:tcPr>
            <w:tcW w:w="1669" w:type="dxa"/>
            <w:vAlign w:val="center"/>
          </w:tcPr>
          <w:p>
            <w:pPr>
              <w:spacing w:line="240" w:lineRule="atLeast"/>
              <w:jc w:val="center"/>
              <w:rPr>
                <w:szCs w:val="24"/>
              </w:rPr>
            </w:pPr>
            <w:r>
              <w:rPr>
                <w:rFonts w:hint="eastAsia" w:ascii="Times New Roman" w:hAnsi="Times New Roman"/>
                <w:szCs w:val="24"/>
              </w:rPr>
              <w:t>水利部长江水利委员会</w:t>
            </w:r>
          </w:p>
        </w:tc>
        <w:tc>
          <w:tcPr>
            <w:tcW w:w="4697" w:type="dxa"/>
            <w:vAlign w:val="center"/>
          </w:tcPr>
          <w:p>
            <w:pPr>
              <w:spacing w:line="240" w:lineRule="atLeast"/>
              <w:rPr>
                <w:szCs w:val="24"/>
              </w:rPr>
            </w:pPr>
            <w:r>
              <w:rPr>
                <w:rFonts w:hint="eastAsia" w:ascii="Times New Roman" w:hAnsi="Times New Roman"/>
                <w:szCs w:val="24"/>
              </w:rPr>
              <w:t>负责堰塞湖水情信息应急监测、溃决洪水演进预报模型研究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bCs/>
                <w:sz w:val="24"/>
              </w:rPr>
            </w:pPr>
            <w:r>
              <w:rPr>
                <w:rFonts w:ascii="Times New Roman" w:hAnsi="Times New Roman"/>
                <w:bCs/>
                <w:sz w:val="24"/>
              </w:rPr>
              <w:t>6</w:t>
            </w:r>
          </w:p>
        </w:tc>
        <w:tc>
          <w:tcPr>
            <w:tcW w:w="920" w:type="dxa"/>
            <w:vAlign w:val="center"/>
          </w:tcPr>
          <w:p>
            <w:pPr>
              <w:spacing w:line="240" w:lineRule="atLeast"/>
              <w:jc w:val="center"/>
              <w:rPr>
                <w:szCs w:val="24"/>
              </w:rPr>
            </w:pPr>
            <w:r>
              <w:rPr>
                <w:rFonts w:hint="eastAsia" w:ascii="Times New Roman" w:hAnsi="Times New Roman"/>
                <w:szCs w:val="24"/>
              </w:rPr>
              <w:t>何宁</w:t>
            </w:r>
          </w:p>
        </w:tc>
        <w:tc>
          <w:tcPr>
            <w:tcW w:w="1024" w:type="dxa"/>
            <w:vAlign w:val="center"/>
          </w:tcPr>
          <w:p>
            <w:pPr>
              <w:spacing w:line="240" w:lineRule="atLeast"/>
              <w:jc w:val="center"/>
              <w:rPr>
                <w:szCs w:val="24"/>
              </w:rPr>
            </w:pPr>
            <w:r>
              <w:rPr>
                <w:rFonts w:hint="eastAsia" w:ascii="Times New Roman" w:hAnsi="Times New Roman"/>
                <w:szCs w:val="24"/>
              </w:rPr>
              <w:t>正高</w:t>
            </w:r>
          </w:p>
        </w:tc>
        <w:tc>
          <w:tcPr>
            <w:tcW w:w="1669" w:type="dxa"/>
            <w:vAlign w:val="center"/>
          </w:tcPr>
          <w:p>
            <w:pPr>
              <w:spacing w:line="240" w:lineRule="atLeast"/>
              <w:jc w:val="center"/>
              <w:rPr>
                <w:szCs w:val="24"/>
              </w:rPr>
            </w:pPr>
            <w:r>
              <w:rPr>
                <w:rFonts w:hint="eastAsia" w:ascii="Times New Roman" w:hAnsi="Times New Roman"/>
                <w:szCs w:val="24"/>
              </w:rPr>
              <w:t>水利部交通运输部国家能源局南京水利科学研究院</w:t>
            </w:r>
          </w:p>
        </w:tc>
        <w:tc>
          <w:tcPr>
            <w:tcW w:w="4697" w:type="dxa"/>
            <w:vAlign w:val="center"/>
          </w:tcPr>
          <w:p>
            <w:pPr>
              <w:spacing w:line="240" w:lineRule="atLeast"/>
              <w:rPr>
                <w:szCs w:val="24"/>
              </w:rPr>
            </w:pPr>
            <w:r>
              <w:rPr>
                <w:rFonts w:hint="eastAsia" w:ascii="Times New Roman" w:hAnsi="Times New Roman"/>
                <w:szCs w:val="24"/>
              </w:rPr>
              <w:t>负责堰塞坝开发利用综合评价方法及安全监测预警评价技术研究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bCs/>
                <w:sz w:val="24"/>
              </w:rPr>
            </w:pPr>
            <w:r>
              <w:rPr>
                <w:rFonts w:ascii="Times New Roman" w:hAnsi="Times New Roman"/>
                <w:bCs/>
                <w:sz w:val="24"/>
              </w:rPr>
              <w:t>7</w:t>
            </w:r>
          </w:p>
        </w:tc>
        <w:tc>
          <w:tcPr>
            <w:tcW w:w="920" w:type="dxa"/>
            <w:vAlign w:val="center"/>
          </w:tcPr>
          <w:p>
            <w:pPr>
              <w:spacing w:line="240" w:lineRule="atLeast"/>
              <w:jc w:val="center"/>
              <w:rPr>
                <w:szCs w:val="24"/>
              </w:rPr>
            </w:pPr>
            <w:r>
              <w:rPr>
                <w:rFonts w:hint="eastAsia" w:ascii="Times New Roman" w:hAnsi="Times New Roman"/>
                <w:szCs w:val="24"/>
              </w:rPr>
              <w:t>程凯</w:t>
            </w:r>
          </w:p>
        </w:tc>
        <w:tc>
          <w:tcPr>
            <w:tcW w:w="1024" w:type="dxa"/>
            <w:vAlign w:val="center"/>
          </w:tcPr>
          <w:p>
            <w:pPr>
              <w:spacing w:line="240" w:lineRule="atLeast"/>
              <w:jc w:val="center"/>
              <w:rPr>
                <w:szCs w:val="24"/>
              </w:rPr>
            </w:pPr>
            <w:r>
              <w:rPr>
                <w:rFonts w:hint="eastAsia" w:ascii="Times New Roman" w:hAnsi="Times New Roman"/>
                <w:szCs w:val="24"/>
              </w:rPr>
              <w:t>正高</w:t>
            </w:r>
          </w:p>
        </w:tc>
        <w:tc>
          <w:tcPr>
            <w:tcW w:w="1669" w:type="dxa"/>
            <w:vAlign w:val="center"/>
          </w:tcPr>
          <w:p>
            <w:pPr>
              <w:spacing w:line="240" w:lineRule="atLeast"/>
              <w:jc w:val="center"/>
              <w:rPr>
                <w:szCs w:val="24"/>
              </w:rPr>
            </w:pPr>
            <w:r>
              <w:rPr>
                <w:rFonts w:hint="eastAsia" w:ascii="Times New Roman" w:hAnsi="Times New Roman"/>
                <w:szCs w:val="24"/>
              </w:rPr>
              <w:t>中国电力建设集团有限公司</w:t>
            </w:r>
          </w:p>
        </w:tc>
        <w:tc>
          <w:tcPr>
            <w:tcW w:w="4697" w:type="dxa"/>
            <w:vAlign w:val="center"/>
          </w:tcPr>
          <w:p>
            <w:pPr>
              <w:spacing w:line="240" w:lineRule="atLeast"/>
              <w:rPr>
                <w:szCs w:val="24"/>
              </w:rPr>
            </w:pPr>
            <w:r>
              <w:rPr>
                <w:rFonts w:hint="eastAsia" w:ascii="Times New Roman" w:hAnsi="Times New Roman"/>
                <w:szCs w:val="24"/>
              </w:rPr>
              <w:t>红石岩堰塞坝水利枢纽工程副设总，负责堰塞坝开发利用设计技术研究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bCs/>
                <w:sz w:val="24"/>
              </w:rPr>
            </w:pPr>
            <w:r>
              <w:rPr>
                <w:rFonts w:ascii="Times New Roman" w:hAnsi="Times New Roman"/>
                <w:bCs/>
                <w:sz w:val="24"/>
              </w:rPr>
              <w:t>8</w:t>
            </w:r>
          </w:p>
        </w:tc>
        <w:tc>
          <w:tcPr>
            <w:tcW w:w="920" w:type="dxa"/>
            <w:vAlign w:val="center"/>
          </w:tcPr>
          <w:p>
            <w:pPr>
              <w:spacing w:line="240" w:lineRule="atLeast"/>
              <w:jc w:val="center"/>
              <w:rPr>
                <w:szCs w:val="24"/>
              </w:rPr>
            </w:pPr>
            <w:r>
              <w:rPr>
                <w:rFonts w:hint="eastAsia" w:ascii="Times New Roman" w:hAnsi="Times New Roman"/>
                <w:szCs w:val="24"/>
              </w:rPr>
              <w:t>肖恩尚</w:t>
            </w:r>
          </w:p>
        </w:tc>
        <w:tc>
          <w:tcPr>
            <w:tcW w:w="1024" w:type="dxa"/>
            <w:vAlign w:val="center"/>
          </w:tcPr>
          <w:p>
            <w:pPr>
              <w:spacing w:line="240" w:lineRule="atLeast"/>
              <w:jc w:val="center"/>
              <w:rPr>
                <w:szCs w:val="24"/>
              </w:rPr>
            </w:pPr>
            <w:r>
              <w:rPr>
                <w:rFonts w:hint="eastAsia" w:ascii="Times New Roman" w:hAnsi="Times New Roman"/>
                <w:szCs w:val="24"/>
              </w:rPr>
              <w:t>正高</w:t>
            </w:r>
          </w:p>
        </w:tc>
        <w:tc>
          <w:tcPr>
            <w:tcW w:w="1669" w:type="dxa"/>
            <w:vAlign w:val="center"/>
          </w:tcPr>
          <w:p>
            <w:pPr>
              <w:spacing w:line="240" w:lineRule="atLeast"/>
              <w:jc w:val="center"/>
              <w:rPr>
                <w:szCs w:val="24"/>
              </w:rPr>
            </w:pPr>
            <w:r>
              <w:rPr>
                <w:rFonts w:hint="eastAsia" w:ascii="Times New Roman" w:hAnsi="Times New Roman"/>
                <w:szCs w:val="24"/>
              </w:rPr>
              <w:t>中国水电基础局有限公司</w:t>
            </w:r>
          </w:p>
        </w:tc>
        <w:tc>
          <w:tcPr>
            <w:tcW w:w="4697" w:type="dxa"/>
            <w:vAlign w:val="center"/>
          </w:tcPr>
          <w:p>
            <w:pPr>
              <w:spacing w:line="240" w:lineRule="atLeast"/>
              <w:rPr>
                <w:szCs w:val="24"/>
              </w:rPr>
            </w:pPr>
            <w:r>
              <w:rPr>
                <w:rFonts w:hint="eastAsia" w:ascii="Times New Roman" w:hAnsi="Times New Roman"/>
                <w:szCs w:val="24"/>
              </w:rPr>
              <w:t>负责堰塞坝堰塞坝防渗加固新材料新装备与施工成套技术研究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bCs/>
                <w:sz w:val="24"/>
              </w:rPr>
            </w:pPr>
            <w:r>
              <w:rPr>
                <w:rFonts w:ascii="Times New Roman" w:hAnsi="Times New Roman"/>
                <w:bCs/>
                <w:sz w:val="24"/>
              </w:rPr>
              <w:t>9</w:t>
            </w:r>
          </w:p>
        </w:tc>
        <w:tc>
          <w:tcPr>
            <w:tcW w:w="920" w:type="dxa"/>
            <w:vAlign w:val="center"/>
          </w:tcPr>
          <w:p>
            <w:pPr>
              <w:spacing w:line="240" w:lineRule="atLeast"/>
              <w:jc w:val="center"/>
              <w:rPr>
                <w:szCs w:val="24"/>
              </w:rPr>
            </w:pPr>
            <w:r>
              <w:rPr>
                <w:rFonts w:hint="eastAsia" w:ascii="Times New Roman" w:hAnsi="Times New Roman"/>
              </w:rPr>
              <w:t>吴学明</w:t>
            </w:r>
          </w:p>
        </w:tc>
        <w:tc>
          <w:tcPr>
            <w:tcW w:w="1024" w:type="dxa"/>
            <w:vAlign w:val="center"/>
          </w:tcPr>
          <w:p>
            <w:pPr>
              <w:spacing w:line="240" w:lineRule="atLeast"/>
              <w:jc w:val="center"/>
              <w:rPr>
                <w:szCs w:val="24"/>
              </w:rPr>
            </w:pPr>
            <w:r>
              <w:rPr>
                <w:rFonts w:hint="eastAsia" w:ascii="Times New Roman" w:hAnsi="Times New Roman"/>
                <w:szCs w:val="24"/>
              </w:rPr>
              <w:t>正高</w:t>
            </w:r>
          </w:p>
        </w:tc>
        <w:tc>
          <w:tcPr>
            <w:tcW w:w="1669" w:type="dxa"/>
            <w:vAlign w:val="center"/>
          </w:tcPr>
          <w:p>
            <w:pPr>
              <w:spacing w:line="240" w:lineRule="atLeast"/>
              <w:jc w:val="center"/>
              <w:rPr>
                <w:szCs w:val="24"/>
              </w:rPr>
            </w:pPr>
            <w:r>
              <w:rPr>
                <w:rFonts w:hint="eastAsia" w:ascii="Times New Roman" w:hAnsi="Times New Roman"/>
                <w:szCs w:val="24"/>
              </w:rPr>
              <w:t>中国电力建设集团有限公司</w:t>
            </w:r>
          </w:p>
        </w:tc>
        <w:tc>
          <w:tcPr>
            <w:tcW w:w="4697" w:type="dxa"/>
            <w:vAlign w:val="center"/>
          </w:tcPr>
          <w:p>
            <w:pPr>
              <w:spacing w:line="240" w:lineRule="atLeast"/>
              <w:rPr>
                <w:szCs w:val="24"/>
              </w:rPr>
            </w:pPr>
            <w:r>
              <w:rPr>
                <w:rFonts w:hint="eastAsia" w:ascii="Times New Roman" w:hAnsi="Times New Roman"/>
                <w:szCs w:val="24"/>
              </w:rPr>
              <w:t>对宽级配堰塞坝综合勘察技术研究有贡献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bCs/>
                <w:sz w:val="24"/>
              </w:rPr>
            </w:pPr>
            <w:r>
              <w:rPr>
                <w:rFonts w:ascii="Times New Roman" w:hAnsi="Times New Roman"/>
                <w:bCs/>
                <w:sz w:val="24"/>
              </w:rPr>
              <w:t>10</w:t>
            </w:r>
          </w:p>
        </w:tc>
        <w:tc>
          <w:tcPr>
            <w:tcW w:w="920" w:type="dxa"/>
            <w:vAlign w:val="center"/>
          </w:tcPr>
          <w:p>
            <w:pPr>
              <w:spacing w:line="240" w:lineRule="atLeast"/>
              <w:jc w:val="center"/>
              <w:rPr>
                <w:szCs w:val="24"/>
              </w:rPr>
            </w:pPr>
            <w:r>
              <w:rPr>
                <w:rFonts w:hint="eastAsia" w:ascii="Times New Roman" w:hAnsi="Times New Roman"/>
                <w:szCs w:val="24"/>
              </w:rPr>
              <w:t>张嘎</w:t>
            </w:r>
          </w:p>
        </w:tc>
        <w:tc>
          <w:tcPr>
            <w:tcW w:w="1024" w:type="dxa"/>
            <w:vAlign w:val="center"/>
          </w:tcPr>
          <w:p>
            <w:pPr>
              <w:spacing w:line="240" w:lineRule="atLeast"/>
              <w:jc w:val="center"/>
              <w:rPr>
                <w:szCs w:val="24"/>
              </w:rPr>
            </w:pPr>
            <w:r>
              <w:rPr>
                <w:rFonts w:hint="eastAsia" w:ascii="Times New Roman" w:hAnsi="Times New Roman"/>
                <w:szCs w:val="24"/>
              </w:rPr>
              <w:t>教授</w:t>
            </w:r>
          </w:p>
        </w:tc>
        <w:tc>
          <w:tcPr>
            <w:tcW w:w="1669" w:type="dxa"/>
            <w:vAlign w:val="center"/>
          </w:tcPr>
          <w:p>
            <w:pPr>
              <w:spacing w:line="240" w:lineRule="atLeast"/>
              <w:jc w:val="center"/>
              <w:rPr>
                <w:szCs w:val="24"/>
              </w:rPr>
            </w:pPr>
            <w:r>
              <w:rPr>
                <w:rFonts w:hint="eastAsia" w:ascii="Times New Roman" w:hAnsi="Times New Roman"/>
                <w:szCs w:val="24"/>
              </w:rPr>
              <w:t>清华大学</w:t>
            </w:r>
          </w:p>
        </w:tc>
        <w:tc>
          <w:tcPr>
            <w:tcW w:w="4697" w:type="dxa"/>
            <w:vAlign w:val="center"/>
          </w:tcPr>
          <w:p>
            <w:pPr>
              <w:spacing w:line="240" w:lineRule="atLeast"/>
              <w:rPr>
                <w:szCs w:val="24"/>
              </w:rPr>
            </w:pPr>
            <w:r>
              <w:rPr>
                <w:rFonts w:hint="eastAsia" w:ascii="Times New Roman" w:hAnsi="Times New Roman"/>
                <w:szCs w:val="24"/>
              </w:rPr>
              <w:t>对宽级配堰塞体工作性态分析理论研究有贡献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bCs/>
                <w:sz w:val="24"/>
              </w:rPr>
            </w:pPr>
            <w:r>
              <w:rPr>
                <w:rFonts w:ascii="Times New Roman" w:hAnsi="Times New Roman"/>
                <w:bCs/>
                <w:sz w:val="24"/>
              </w:rPr>
              <w:t>11</w:t>
            </w:r>
          </w:p>
        </w:tc>
        <w:tc>
          <w:tcPr>
            <w:tcW w:w="920" w:type="dxa"/>
            <w:vAlign w:val="center"/>
          </w:tcPr>
          <w:p>
            <w:pPr>
              <w:spacing w:line="240" w:lineRule="atLeast"/>
              <w:jc w:val="center"/>
              <w:rPr>
                <w:szCs w:val="24"/>
              </w:rPr>
            </w:pPr>
            <w:r>
              <w:rPr>
                <w:rFonts w:hint="eastAsia" w:ascii="Times New Roman" w:hAnsi="Times New Roman"/>
                <w:szCs w:val="24"/>
              </w:rPr>
              <w:t>段文刚</w:t>
            </w:r>
          </w:p>
        </w:tc>
        <w:tc>
          <w:tcPr>
            <w:tcW w:w="1024" w:type="dxa"/>
            <w:vAlign w:val="center"/>
          </w:tcPr>
          <w:p>
            <w:pPr>
              <w:spacing w:line="240" w:lineRule="atLeast"/>
              <w:jc w:val="center"/>
              <w:rPr>
                <w:szCs w:val="24"/>
              </w:rPr>
            </w:pPr>
            <w:r>
              <w:rPr>
                <w:rFonts w:hint="eastAsia" w:ascii="Times New Roman" w:hAnsi="Times New Roman"/>
                <w:szCs w:val="24"/>
              </w:rPr>
              <w:t>正高</w:t>
            </w:r>
          </w:p>
        </w:tc>
        <w:tc>
          <w:tcPr>
            <w:tcW w:w="1669" w:type="dxa"/>
            <w:vAlign w:val="center"/>
          </w:tcPr>
          <w:p>
            <w:pPr>
              <w:spacing w:line="240" w:lineRule="atLeast"/>
              <w:jc w:val="center"/>
              <w:rPr>
                <w:szCs w:val="24"/>
              </w:rPr>
            </w:pPr>
            <w:r>
              <w:rPr>
                <w:rFonts w:hint="eastAsia" w:ascii="Times New Roman" w:hAnsi="Times New Roman"/>
                <w:szCs w:val="24"/>
              </w:rPr>
              <w:t>水利部长江水利委员会</w:t>
            </w:r>
          </w:p>
        </w:tc>
        <w:tc>
          <w:tcPr>
            <w:tcW w:w="4697" w:type="dxa"/>
            <w:vAlign w:val="center"/>
          </w:tcPr>
          <w:p>
            <w:pPr>
              <w:spacing w:line="240" w:lineRule="atLeast"/>
              <w:rPr>
                <w:szCs w:val="24"/>
              </w:rPr>
            </w:pPr>
            <w:r>
              <w:rPr>
                <w:rFonts w:hint="eastAsia" w:ascii="Times New Roman" w:hAnsi="Times New Roman"/>
                <w:szCs w:val="24"/>
              </w:rPr>
              <w:t>对堰塞湖溃决机理、溃口洪峰预测模型研究有贡献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bCs/>
                <w:sz w:val="24"/>
              </w:rPr>
            </w:pPr>
            <w:r>
              <w:rPr>
                <w:rFonts w:hint="eastAsia" w:ascii="Times New Roman" w:hAnsi="Times New Roman"/>
                <w:bCs/>
                <w:sz w:val="24"/>
              </w:rPr>
              <w:t>1</w:t>
            </w:r>
            <w:r>
              <w:rPr>
                <w:rFonts w:ascii="Times New Roman" w:hAnsi="Times New Roman"/>
                <w:bCs/>
                <w:sz w:val="24"/>
              </w:rPr>
              <w:t>2</w:t>
            </w:r>
          </w:p>
        </w:tc>
        <w:tc>
          <w:tcPr>
            <w:tcW w:w="920" w:type="dxa"/>
            <w:vAlign w:val="center"/>
          </w:tcPr>
          <w:p>
            <w:pPr>
              <w:spacing w:line="240" w:lineRule="atLeast"/>
              <w:jc w:val="center"/>
              <w:rPr>
                <w:szCs w:val="24"/>
              </w:rPr>
            </w:pPr>
            <w:r>
              <w:rPr>
                <w:rFonts w:hint="eastAsia" w:ascii="Times New Roman" w:hAnsi="Times New Roman"/>
                <w:szCs w:val="24"/>
              </w:rPr>
              <w:t>王环玲</w:t>
            </w:r>
          </w:p>
        </w:tc>
        <w:tc>
          <w:tcPr>
            <w:tcW w:w="1024" w:type="dxa"/>
            <w:vAlign w:val="center"/>
          </w:tcPr>
          <w:p>
            <w:pPr>
              <w:spacing w:line="240" w:lineRule="atLeast"/>
              <w:jc w:val="center"/>
              <w:rPr>
                <w:szCs w:val="24"/>
              </w:rPr>
            </w:pPr>
            <w:r>
              <w:rPr>
                <w:rFonts w:hint="eastAsia" w:ascii="Times New Roman" w:hAnsi="Times New Roman"/>
                <w:szCs w:val="24"/>
              </w:rPr>
              <w:t>教授</w:t>
            </w:r>
          </w:p>
        </w:tc>
        <w:tc>
          <w:tcPr>
            <w:tcW w:w="1669" w:type="dxa"/>
            <w:vAlign w:val="center"/>
          </w:tcPr>
          <w:p>
            <w:pPr>
              <w:spacing w:line="240" w:lineRule="atLeast"/>
              <w:jc w:val="center"/>
              <w:rPr>
                <w:szCs w:val="24"/>
              </w:rPr>
            </w:pPr>
            <w:r>
              <w:rPr>
                <w:rFonts w:hint="eastAsia" w:ascii="Times New Roman" w:hAnsi="Times New Roman"/>
                <w:szCs w:val="24"/>
              </w:rPr>
              <w:t>河海大学</w:t>
            </w:r>
          </w:p>
        </w:tc>
        <w:tc>
          <w:tcPr>
            <w:tcW w:w="4697" w:type="dxa"/>
            <w:vAlign w:val="center"/>
          </w:tcPr>
          <w:p>
            <w:pPr>
              <w:spacing w:line="240" w:lineRule="atLeast"/>
              <w:rPr>
                <w:szCs w:val="24"/>
              </w:rPr>
            </w:pPr>
            <w:r>
              <w:rPr>
                <w:rFonts w:hint="eastAsia" w:ascii="Times New Roman" w:hAnsi="Times New Roman"/>
                <w:szCs w:val="24"/>
              </w:rPr>
              <w:t>对堰塞坝探测技术与分析方法研究有贡献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bCs/>
                <w:sz w:val="24"/>
              </w:rPr>
            </w:pPr>
            <w:r>
              <w:rPr>
                <w:rFonts w:ascii="Times New Roman" w:hAnsi="Times New Roman"/>
                <w:bCs/>
                <w:sz w:val="24"/>
              </w:rPr>
              <w:t>13</w:t>
            </w:r>
          </w:p>
        </w:tc>
        <w:tc>
          <w:tcPr>
            <w:tcW w:w="920" w:type="dxa"/>
            <w:vAlign w:val="center"/>
          </w:tcPr>
          <w:p>
            <w:pPr>
              <w:spacing w:line="240" w:lineRule="atLeast"/>
              <w:jc w:val="center"/>
              <w:rPr>
                <w:szCs w:val="24"/>
              </w:rPr>
            </w:pPr>
            <w:r>
              <w:rPr>
                <w:rFonts w:hint="eastAsia" w:ascii="Times New Roman" w:hAnsi="Times New Roman"/>
                <w:szCs w:val="24"/>
              </w:rPr>
              <w:t>陈文晋</w:t>
            </w:r>
          </w:p>
        </w:tc>
        <w:tc>
          <w:tcPr>
            <w:tcW w:w="1024" w:type="dxa"/>
            <w:vAlign w:val="center"/>
          </w:tcPr>
          <w:p>
            <w:pPr>
              <w:spacing w:line="240" w:lineRule="atLeast"/>
              <w:jc w:val="center"/>
              <w:rPr>
                <w:szCs w:val="24"/>
              </w:rPr>
            </w:pPr>
            <w:r>
              <w:rPr>
                <w:rFonts w:hint="eastAsia" w:ascii="Times New Roman" w:hAnsi="Times New Roman"/>
                <w:szCs w:val="24"/>
              </w:rPr>
              <w:t>正高</w:t>
            </w:r>
          </w:p>
        </w:tc>
        <w:tc>
          <w:tcPr>
            <w:tcW w:w="1669" w:type="dxa"/>
            <w:vAlign w:val="center"/>
          </w:tcPr>
          <w:p>
            <w:pPr>
              <w:spacing w:line="240" w:lineRule="atLeast"/>
              <w:jc w:val="center"/>
              <w:rPr>
                <w:szCs w:val="24"/>
              </w:rPr>
            </w:pPr>
            <w:r>
              <w:rPr>
                <w:rFonts w:hint="eastAsia" w:ascii="Times New Roman" w:hAnsi="Times New Roman"/>
                <w:szCs w:val="24"/>
              </w:rPr>
              <w:t>云南省建设投资控股集团有限公司</w:t>
            </w:r>
          </w:p>
        </w:tc>
        <w:tc>
          <w:tcPr>
            <w:tcW w:w="4697" w:type="dxa"/>
            <w:vAlign w:val="center"/>
          </w:tcPr>
          <w:p>
            <w:pPr>
              <w:spacing w:line="240" w:lineRule="atLeast"/>
              <w:rPr>
                <w:szCs w:val="24"/>
              </w:rPr>
            </w:pPr>
            <w:r>
              <w:rPr>
                <w:rFonts w:hint="eastAsia" w:ascii="Times New Roman" w:hAnsi="Times New Roman"/>
                <w:szCs w:val="24"/>
              </w:rPr>
              <w:t>对红石岩堰塞坝水利枢纽工程开发利用研究有贡献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bCs/>
                <w:sz w:val="24"/>
              </w:rPr>
            </w:pPr>
            <w:r>
              <w:rPr>
                <w:rFonts w:ascii="Times New Roman" w:hAnsi="Times New Roman"/>
                <w:bCs/>
                <w:sz w:val="24"/>
              </w:rPr>
              <w:t>14</w:t>
            </w:r>
          </w:p>
        </w:tc>
        <w:tc>
          <w:tcPr>
            <w:tcW w:w="920" w:type="dxa"/>
            <w:vAlign w:val="center"/>
          </w:tcPr>
          <w:p>
            <w:pPr>
              <w:spacing w:line="240" w:lineRule="atLeast"/>
              <w:jc w:val="center"/>
            </w:pPr>
            <w:r>
              <w:rPr>
                <w:rFonts w:hint="eastAsia" w:ascii="Times New Roman" w:hAnsi="Times New Roman"/>
                <w:szCs w:val="24"/>
              </w:rPr>
              <w:t>周家文</w:t>
            </w:r>
          </w:p>
        </w:tc>
        <w:tc>
          <w:tcPr>
            <w:tcW w:w="1024" w:type="dxa"/>
            <w:vAlign w:val="center"/>
          </w:tcPr>
          <w:p>
            <w:pPr>
              <w:spacing w:line="240" w:lineRule="atLeast"/>
              <w:jc w:val="center"/>
            </w:pPr>
            <w:r>
              <w:rPr>
                <w:rFonts w:hint="eastAsia" w:ascii="Times New Roman" w:hAnsi="Times New Roman"/>
                <w:szCs w:val="24"/>
              </w:rPr>
              <w:t>教授</w:t>
            </w:r>
          </w:p>
        </w:tc>
        <w:tc>
          <w:tcPr>
            <w:tcW w:w="1669" w:type="dxa"/>
            <w:vAlign w:val="center"/>
          </w:tcPr>
          <w:p>
            <w:pPr>
              <w:spacing w:line="240" w:lineRule="atLeast"/>
              <w:jc w:val="center"/>
            </w:pPr>
            <w:r>
              <w:rPr>
                <w:rFonts w:hint="eastAsia" w:ascii="Times New Roman" w:hAnsi="Times New Roman"/>
                <w:szCs w:val="24"/>
              </w:rPr>
              <w:t>四川大学</w:t>
            </w:r>
          </w:p>
        </w:tc>
        <w:tc>
          <w:tcPr>
            <w:tcW w:w="4697" w:type="dxa"/>
            <w:vAlign w:val="center"/>
          </w:tcPr>
          <w:p>
            <w:pPr>
              <w:spacing w:line="240" w:lineRule="atLeast"/>
            </w:pPr>
            <w:r>
              <w:rPr>
                <w:rFonts w:hint="eastAsia" w:ascii="Times New Roman" w:hAnsi="Times New Roman"/>
                <w:szCs w:val="24"/>
              </w:rPr>
              <w:t>对堰塞湖溃决机理、溃口洪峰预测模型研究有贡献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bCs/>
                <w:sz w:val="24"/>
              </w:rPr>
            </w:pPr>
            <w:r>
              <w:rPr>
                <w:rFonts w:ascii="Times New Roman" w:hAnsi="Times New Roman"/>
                <w:bCs/>
                <w:sz w:val="24"/>
              </w:rPr>
              <w:t>15</w:t>
            </w:r>
          </w:p>
        </w:tc>
        <w:tc>
          <w:tcPr>
            <w:tcW w:w="920" w:type="dxa"/>
            <w:vAlign w:val="center"/>
          </w:tcPr>
          <w:p>
            <w:pPr>
              <w:spacing w:line="240" w:lineRule="atLeast"/>
              <w:jc w:val="center"/>
            </w:pPr>
            <w:r>
              <w:rPr>
                <w:rFonts w:hint="eastAsia" w:ascii="Times New Roman" w:hAnsi="Times New Roman"/>
                <w:szCs w:val="24"/>
              </w:rPr>
              <w:t>赵春</w:t>
            </w:r>
          </w:p>
        </w:tc>
        <w:tc>
          <w:tcPr>
            <w:tcW w:w="1024" w:type="dxa"/>
            <w:vAlign w:val="center"/>
          </w:tcPr>
          <w:p>
            <w:pPr>
              <w:spacing w:line="240" w:lineRule="atLeast"/>
              <w:jc w:val="center"/>
            </w:pPr>
            <w:r>
              <w:rPr>
                <w:rFonts w:hint="eastAsia" w:ascii="Times New Roman" w:hAnsi="Times New Roman"/>
                <w:szCs w:val="24"/>
              </w:rPr>
              <w:t>正高</w:t>
            </w:r>
          </w:p>
        </w:tc>
        <w:tc>
          <w:tcPr>
            <w:tcW w:w="1669" w:type="dxa"/>
            <w:vAlign w:val="center"/>
          </w:tcPr>
          <w:p>
            <w:pPr>
              <w:spacing w:line="240" w:lineRule="atLeast"/>
              <w:jc w:val="center"/>
            </w:pPr>
            <w:r>
              <w:rPr>
                <w:rFonts w:hint="eastAsia" w:ascii="Times New Roman" w:hAnsi="Times New Roman"/>
                <w:szCs w:val="24"/>
              </w:rPr>
              <w:t>中国水利水电科学研究院</w:t>
            </w:r>
          </w:p>
        </w:tc>
        <w:tc>
          <w:tcPr>
            <w:tcW w:w="4697" w:type="dxa"/>
            <w:vAlign w:val="center"/>
          </w:tcPr>
          <w:p>
            <w:pPr>
              <w:spacing w:line="240" w:lineRule="atLeast"/>
            </w:pPr>
            <w:r>
              <w:rPr>
                <w:rFonts w:hint="eastAsia" w:ascii="Times New Roman" w:hAnsi="Times New Roman"/>
                <w:szCs w:val="24"/>
              </w:rPr>
              <w:t>对堰塞坝空间结构识别探测及材料试验技术研究有贡献</w:t>
            </w:r>
          </w:p>
        </w:tc>
      </w:tr>
    </w:tbl>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大标宋简体">
    <w:altName w:val="微软雅黑"/>
    <w:panose1 w:val="03000509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96418"/>
    </w:sdtPr>
    <w:sdtContent>
      <w:p>
        <w:pPr>
          <w:pStyle w:val="3"/>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5Y2ZiZTU4ZDRhMTcyOWMyYzYwNGZiYTE1MzQyMWUifQ=="/>
  </w:docVars>
  <w:rsids>
    <w:rsidRoot w:val="002D03CD"/>
    <w:rsid w:val="00004CD7"/>
    <w:rsid w:val="000330F9"/>
    <w:rsid w:val="000443D4"/>
    <w:rsid w:val="0004735E"/>
    <w:rsid w:val="00061316"/>
    <w:rsid w:val="000B0289"/>
    <w:rsid w:val="000C36FE"/>
    <w:rsid w:val="001063E4"/>
    <w:rsid w:val="00113C74"/>
    <w:rsid w:val="00114366"/>
    <w:rsid w:val="001160E9"/>
    <w:rsid w:val="00164F41"/>
    <w:rsid w:val="001800CF"/>
    <w:rsid w:val="001963BF"/>
    <w:rsid w:val="001C6DF5"/>
    <w:rsid w:val="001D5C5C"/>
    <w:rsid w:val="001E6963"/>
    <w:rsid w:val="001F2B9C"/>
    <w:rsid w:val="00205414"/>
    <w:rsid w:val="0021779F"/>
    <w:rsid w:val="002252AF"/>
    <w:rsid w:val="002713A2"/>
    <w:rsid w:val="002858F5"/>
    <w:rsid w:val="0028649F"/>
    <w:rsid w:val="00287837"/>
    <w:rsid w:val="00293790"/>
    <w:rsid w:val="00295491"/>
    <w:rsid w:val="0029771F"/>
    <w:rsid w:val="002B72F9"/>
    <w:rsid w:val="002D03CD"/>
    <w:rsid w:val="002E1AB9"/>
    <w:rsid w:val="002E2F0D"/>
    <w:rsid w:val="002E4FBE"/>
    <w:rsid w:val="002F405A"/>
    <w:rsid w:val="00301408"/>
    <w:rsid w:val="003151E2"/>
    <w:rsid w:val="00343788"/>
    <w:rsid w:val="00345B87"/>
    <w:rsid w:val="00385574"/>
    <w:rsid w:val="003D1C17"/>
    <w:rsid w:val="003F7491"/>
    <w:rsid w:val="004007DB"/>
    <w:rsid w:val="00414C10"/>
    <w:rsid w:val="00432084"/>
    <w:rsid w:val="00441A2D"/>
    <w:rsid w:val="00450518"/>
    <w:rsid w:val="00460792"/>
    <w:rsid w:val="00463712"/>
    <w:rsid w:val="00465FB0"/>
    <w:rsid w:val="00473AA9"/>
    <w:rsid w:val="004A1603"/>
    <w:rsid w:val="004C550A"/>
    <w:rsid w:val="004D09A4"/>
    <w:rsid w:val="004F29B0"/>
    <w:rsid w:val="004F2E5A"/>
    <w:rsid w:val="00505C5E"/>
    <w:rsid w:val="00513558"/>
    <w:rsid w:val="005328A4"/>
    <w:rsid w:val="00556EAA"/>
    <w:rsid w:val="005609A1"/>
    <w:rsid w:val="00560EED"/>
    <w:rsid w:val="005633BC"/>
    <w:rsid w:val="005738E3"/>
    <w:rsid w:val="00587C86"/>
    <w:rsid w:val="005A5DB3"/>
    <w:rsid w:val="005A703A"/>
    <w:rsid w:val="005B2E6E"/>
    <w:rsid w:val="005E3DD1"/>
    <w:rsid w:val="005E405D"/>
    <w:rsid w:val="005F43DC"/>
    <w:rsid w:val="005F51D0"/>
    <w:rsid w:val="005F6E18"/>
    <w:rsid w:val="00604CED"/>
    <w:rsid w:val="006112AF"/>
    <w:rsid w:val="00625209"/>
    <w:rsid w:val="0063647B"/>
    <w:rsid w:val="00636D85"/>
    <w:rsid w:val="006400FB"/>
    <w:rsid w:val="00686FCA"/>
    <w:rsid w:val="006948E6"/>
    <w:rsid w:val="006B6649"/>
    <w:rsid w:val="006C6091"/>
    <w:rsid w:val="006D698B"/>
    <w:rsid w:val="006E4908"/>
    <w:rsid w:val="007013E4"/>
    <w:rsid w:val="00713839"/>
    <w:rsid w:val="00715B16"/>
    <w:rsid w:val="007339F6"/>
    <w:rsid w:val="00741AED"/>
    <w:rsid w:val="007529E1"/>
    <w:rsid w:val="00756EF3"/>
    <w:rsid w:val="007A2BA1"/>
    <w:rsid w:val="007B669D"/>
    <w:rsid w:val="007C667A"/>
    <w:rsid w:val="0080146E"/>
    <w:rsid w:val="008040A4"/>
    <w:rsid w:val="0080638B"/>
    <w:rsid w:val="00807CAB"/>
    <w:rsid w:val="00814E34"/>
    <w:rsid w:val="00815A42"/>
    <w:rsid w:val="00821D7A"/>
    <w:rsid w:val="00824181"/>
    <w:rsid w:val="0084311E"/>
    <w:rsid w:val="008766E4"/>
    <w:rsid w:val="00877605"/>
    <w:rsid w:val="00890C3B"/>
    <w:rsid w:val="008A6D1B"/>
    <w:rsid w:val="008C687A"/>
    <w:rsid w:val="008D04BE"/>
    <w:rsid w:val="008E608A"/>
    <w:rsid w:val="008F0088"/>
    <w:rsid w:val="00917047"/>
    <w:rsid w:val="0094019D"/>
    <w:rsid w:val="00951136"/>
    <w:rsid w:val="009715AE"/>
    <w:rsid w:val="00986FF1"/>
    <w:rsid w:val="009D6185"/>
    <w:rsid w:val="009F0040"/>
    <w:rsid w:val="009F6EED"/>
    <w:rsid w:val="00A16A12"/>
    <w:rsid w:val="00A217D5"/>
    <w:rsid w:val="00A239CB"/>
    <w:rsid w:val="00A5461E"/>
    <w:rsid w:val="00A61B93"/>
    <w:rsid w:val="00A76331"/>
    <w:rsid w:val="00A838AD"/>
    <w:rsid w:val="00AA714D"/>
    <w:rsid w:val="00AB2BD8"/>
    <w:rsid w:val="00AB38C7"/>
    <w:rsid w:val="00AC4506"/>
    <w:rsid w:val="00AC63BB"/>
    <w:rsid w:val="00AE14FA"/>
    <w:rsid w:val="00AE5180"/>
    <w:rsid w:val="00AF4833"/>
    <w:rsid w:val="00B45302"/>
    <w:rsid w:val="00B456E8"/>
    <w:rsid w:val="00B45F19"/>
    <w:rsid w:val="00B976EB"/>
    <w:rsid w:val="00BA728C"/>
    <w:rsid w:val="00BC33EB"/>
    <w:rsid w:val="00BD5598"/>
    <w:rsid w:val="00BD5D5C"/>
    <w:rsid w:val="00BE459A"/>
    <w:rsid w:val="00BE7466"/>
    <w:rsid w:val="00BF0C73"/>
    <w:rsid w:val="00C034FA"/>
    <w:rsid w:val="00C25D3A"/>
    <w:rsid w:val="00C46447"/>
    <w:rsid w:val="00C6629E"/>
    <w:rsid w:val="00C75F9F"/>
    <w:rsid w:val="00C912E3"/>
    <w:rsid w:val="00C93BAF"/>
    <w:rsid w:val="00C97091"/>
    <w:rsid w:val="00CA237E"/>
    <w:rsid w:val="00CA244E"/>
    <w:rsid w:val="00CB0A7A"/>
    <w:rsid w:val="00CB4A10"/>
    <w:rsid w:val="00CD17B1"/>
    <w:rsid w:val="00CD5ACB"/>
    <w:rsid w:val="00CE2219"/>
    <w:rsid w:val="00CE5246"/>
    <w:rsid w:val="00D04CBB"/>
    <w:rsid w:val="00D12328"/>
    <w:rsid w:val="00D630A9"/>
    <w:rsid w:val="00D65ECA"/>
    <w:rsid w:val="00D7134B"/>
    <w:rsid w:val="00D84AFD"/>
    <w:rsid w:val="00D8540E"/>
    <w:rsid w:val="00D86ABF"/>
    <w:rsid w:val="00DD577E"/>
    <w:rsid w:val="00DD5AE1"/>
    <w:rsid w:val="00DF6299"/>
    <w:rsid w:val="00E22C6D"/>
    <w:rsid w:val="00E26E26"/>
    <w:rsid w:val="00E27ED1"/>
    <w:rsid w:val="00E54C14"/>
    <w:rsid w:val="00E5634F"/>
    <w:rsid w:val="00E6642B"/>
    <w:rsid w:val="00E72FDC"/>
    <w:rsid w:val="00E91C02"/>
    <w:rsid w:val="00EF6650"/>
    <w:rsid w:val="00F370DD"/>
    <w:rsid w:val="00F45B4A"/>
    <w:rsid w:val="00F70DB8"/>
    <w:rsid w:val="00F72247"/>
    <w:rsid w:val="00F77556"/>
    <w:rsid w:val="00FA1C6B"/>
    <w:rsid w:val="00FA1D52"/>
    <w:rsid w:val="00FB00EE"/>
    <w:rsid w:val="00FB7D23"/>
    <w:rsid w:val="00FC4807"/>
    <w:rsid w:val="00FE0148"/>
    <w:rsid w:val="00FE54F2"/>
    <w:rsid w:val="024B1763"/>
    <w:rsid w:val="03BA01FA"/>
    <w:rsid w:val="050A1730"/>
    <w:rsid w:val="0BE20FA2"/>
    <w:rsid w:val="0D1F6F37"/>
    <w:rsid w:val="0E4B0FCD"/>
    <w:rsid w:val="0E7D4128"/>
    <w:rsid w:val="111C1F99"/>
    <w:rsid w:val="16A37C36"/>
    <w:rsid w:val="17322A47"/>
    <w:rsid w:val="189D0048"/>
    <w:rsid w:val="19FB108C"/>
    <w:rsid w:val="1D160476"/>
    <w:rsid w:val="20956824"/>
    <w:rsid w:val="22F56357"/>
    <w:rsid w:val="27246948"/>
    <w:rsid w:val="29C72D39"/>
    <w:rsid w:val="2C777C6F"/>
    <w:rsid w:val="36015914"/>
    <w:rsid w:val="36652992"/>
    <w:rsid w:val="367843C0"/>
    <w:rsid w:val="37A44181"/>
    <w:rsid w:val="392E6FCD"/>
    <w:rsid w:val="3EC62C05"/>
    <w:rsid w:val="3F2A5B67"/>
    <w:rsid w:val="431F2EA1"/>
    <w:rsid w:val="45351FB2"/>
    <w:rsid w:val="47AD4D81"/>
    <w:rsid w:val="486E6651"/>
    <w:rsid w:val="4FF355E3"/>
    <w:rsid w:val="51AB2EB2"/>
    <w:rsid w:val="594841CA"/>
    <w:rsid w:val="5A9F1C54"/>
    <w:rsid w:val="5AB1560C"/>
    <w:rsid w:val="5B5A4039"/>
    <w:rsid w:val="5CAE341B"/>
    <w:rsid w:val="614B4615"/>
    <w:rsid w:val="6152398B"/>
    <w:rsid w:val="63095C1B"/>
    <w:rsid w:val="68E0719F"/>
    <w:rsid w:val="690949EA"/>
    <w:rsid w:val="6B252F15"/>
    <w:rsid w:val="6DA27C55"/>
    <w:rsid w:val="6E9D0DF5"/>
    <w:rsid w:val="72977BD8"/>
    <w:rsid w:val="748279A2"/>
    <w:rsid w:val="77B665A3"/>
    <w:rsid w:val="79540E87"/>
    <w:rsid w:val="79A9060F"/>
    <w:rsid w:val="7A743383"/>
    <w:rsid w:val="7C5F00E6"/>
    <w:rsid w:val="7FB20E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6"/>
    <w:autoRedefine/>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apple-converted-space"/>
    <w:basedOn w:val="8"/>
    <w:qFormat/>
    <w:uiPriority w:val="0"/>
  </w:style>
  <w:style w:type="character" w:customStyle="1" w:styleId="11">
    <w:name w:val="red12"/>
    <w:basedOn w:val="8"/>
    <w:qFormat/>
    <w:uiPriority w:val="0"/>
  </w:style>
  <w:style w:type="character" w:customStyle="1" w:styleId="12">
    <w:name w:val="页眉 字符"/>
    <w:basedOn w:val="8"/>
    <w:link w:val="4"/>
    <w:qFormat/>
    <w:uiPriority w:val="99"/>
    <w:rPr>
      <w:sz w:val="18"/>
      <w:szCs w:val="18"/>
    </w:rPr>
  </w:style>
  <w:style w:type="character" w:customStyle="1" w:styleId="13">
    <w:name w:val="页脚 字符"/>
    <w:basedOn w:val="8"/>
    <w:link w:val="3"/>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默认段落字体 Para Char Char Char Char Char Char Char"/>
    <w:basedOn w:val="1"/>
    <w:qFormat/>
    <w:uiPriority w:val="0"/>
    <w:rPr>
      <w:rFonts w:ascii="Times New Roman" w:hAnsi="Times New Roman" w:eastAsia="宋体" w:cs="Times New Roman"/>
      <w:szCs w:val="20"/>
    </w:rPr>
  </w:style>
  <w:style w:type="character" w:customStyle="1" w:styleId="16">
    <w:name w:val="批注框文本 字符"/>
    <w:basedOn w:val="8"/>
    <w:link w:val="2"/>
    <w:semiHidden/>
    <w:qFormat/>
    <w:uiPriority w:val="99"/>
    <w:rPr>
      <w:kern w:val="2"/>
      <w:sz w:val="18"/>
      <w:szCs w:val="18"/>
    </w:rPr>
  </w:style>
  <w:style w:type="paragraph" w:customStyle="1" w:styleId="17">
    <w:name w:val="发文字号"/>
    <w:basedOn w:val="1"/>
    <w:link w:val="20"/>
    <w:qFormat/>
    <w:uiPriority w:val="0"/>
    <w:pPr>
      <w:jc w:val="center"/>
    </w:pPr>
    <w:rPr>
      <w:rFonts w:eastAsia="仿宋_GB2312"/>
      <w:kern w:val="0"/>
      <w:sz w:val="32"/>
      <w:szCs w:val="30"/>
    </w:rPr>
  </w:style>
  <w:style w:type="paragraph" w:customStyle="1" w:styleId="18">
    <w:name w:val="标3"/>
    <w:basedOn w:val="1"/>
    <w:next w:val="1"/>
    <w:qFormat/>
    <w:uiPriority w:val="0"/>
    <w:pPr>
      <w:keepNext/>
      <w:widowControl/>
      <w:outlineLvl w:val="2"/>
    </w:pPr>
    <w:rPr>
      <w:rFonts w:ascii="黑体" w:hAnsi="黑体" w:eastAsia="黑体"/>
      <w:sz w:val="28"/>
      <w:szCs w:val="28"/>
    </w:rPr>
  </w:style>
  <w:style w:type="paragraph" w:customStyle="1" w:styleId="19">
    <w:name w:val="样式1"/>
    <w:basedOn w:val="1"/>
    <w:qFormat/>
    <w:uiPriority w:val="0"/>
    <w:pPr>
      <w:widowControl/>
      <w:jc w:val="left"/>
    </w:pPr>
    <w:rPr>
      <w:rFonts w:hAnsi="仿宋_GB2312"/>
      <w:color w:val="000000"/>
      <w:kern w:val="0"/>
    </w:rPr>
  </w:style>
  <w:style w:type="character" w:customStyle="1" w:styleId="20">
    <w:name w:val="发文字号 Char Char"/>
    <w:link w:val="17"/>
    <w:uiPriority w:val="0"/>
    <w:rPr>
      <w:rFonts w:eastAsia="仿宋_GB2312" w:asciiTheme="minorHAnsi" w:hAnsiTheme="minorHAnsi" w:cstheme="minorBidi"/>
      <w:sz w:val="32"/>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237</Words>
  <Characters>1355</Characters>
  <Lines>11</Lines>
  <Paragraphs>3</Paragraphs>
  <TotalTime>1</TotalTime>
  <ScaleCrop>false</ScaleCrop>
  <LinksUpToDate>false</LinksUpToDate>
  <CharactersWithSpaces>1589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2018-05-11T09:19:00Z</dcterms:created>
  <dc:creator>cheng</dc:creator>
  <cp:lastModifiedBy>-Fairy.</cp:lastModifiedBy>
  <cp:lastPrinted>2021-01-28T06:42:00Z</cp:lastPrinted>
  <dcterms:modified xsi:type="dcterms:W3CDTF">2023-12-21T08:04:57Z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9DA017E5303C4215AF40AA61378A0EBE_13</vt:lpwstr>
  </property>
</Properties>
</file>